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94D8" w14:textId="77777777" w:rsidR="002F2694" w:rsidRDefault="002F2694" w:rsidP="002F2694">
      <w:pPr>
        <w:pStyle w:val="Heading1"/>
      </w:pPr>
      <w:r>
        <w:t>GDCDPA Compliance Guidebook for AI Systems</w:t>
      </w:r>
    </w:p>
    <w:p w14:paraId="63BD1389" w14:textId="77777777" w:rsidR="002F2694" w:rsidRDefault="002F2694" w:rsidP="002F2694">
      <w:pPr>
        <w:pStyle w:val="Heading2"/>
      </w:pPr>
      <w:r>
        <w:t>Purpose</w:t>
      </w:r>
    </w:p>
    <w:p w14:paraId="67A34C47" w14:textId="77777777" w:rsidR="002F2694" w:rsidRDefault="002F2694" w:rsidP="002F2694">
      <w:r>
        <w:t xml:space="preserve">This document provides specific guidance on applying the Government Data Collection and Dissemination Practices Act (GDCDPA) </w:t>
      </w:r>
      <w:r w:rsidRPr="001B056C">
        <w:t>§ 2.2-380</w:t>
      </w:r>
      <w:r>
        <w:t>0 et seq. to AI systems, based on OAG’s analysis of common AI scenarios.</w:t>
      </w:r>
    </w:p>
    <w:p w14:paraId="7EB23401" w14:textId="77777777" w:rsidR="002F2694" w:rsidRDefault="002F2694" w:rsidP="002F2694">
      <w:r>
        <w:t>Key legal principles covered are:</w:t>
      </w:r>
    </w:p>
    <w:p w14:paraId="15820001" w14:textId="77777777" w:rsidR="002F2694" w:rsidRDefault="002F2694" w:rsidP="002F2694">
      <w:pPr>
        <w:pStyle w:val="ListParagraph"/>
        <w:numPr>
          <w:ilvl w:val="0"/>
          <w:numId w:val="43"/>
        </w:numPr>
      </w:pPr>
      <w:r>
        <w:t>AI Systems are Third Party Recipients of data</w:t>
      </w:r>
    </w:p>
    <w:p w14:paraId="3746E0BC" w14:textId="77777777" w:rsidR="002F2694" w:rsidRDefault="002F2694" w:rsidP="002F2694">
      <w:pPr>
        <w:pStyle w:val="ListParagraph"/>
        <w:numPr>
          <w:ilvl w:val="0"/>
          <w:numId w:val="43"/>
        </w:numPr>
      </w:pPr>
      <w:r>
        <w:t>AI-Generated Information is Considered Personal Information</w:t>
      </w:r>
    </w:p>
    <w:p w14:paraId="352852E1" w14:textId="77777777" w:rsidR="002F2694" w:rsidRDefault="002F2694" w:rsidP="002F2694">
      <w:pPr>
        <w:pStyle w:val="ListParagraph"/>
        <w:numPr>
          <w:ilvl w:val="0"/>
          <w:numId w:val="43"/>
        </w:numPr>
      </w:pPr>
      <w:r>
        <w:t>Repurposing Data for AI requires new authorization and notice</w:t>
      </w:r>
    </w:p>
    <w:p w14:paraId="67005F9F" w14:textId="77777777" w:rsidR="002F2694" w:rsidRDefault="002F2694" w:rsidP="002F2694">
      <w:pPr>
        <w:pStyle w:val="ListParagraph"/>
        <w:numPr>
          <w:ilvl w:val="0"/>
          <w:numId w:val="43"/>
        </w:numPr>
      </w:pPr>
      <w:r>
        <w:t>Retention schedules apply to AI models</w:t>
      </w:r>
    </w:p>
    <w:p w14:paraId="14614775" w14:textId="77777777" w:rsidR="002F2694" w:rsidRDefault="002F2694" w:rsidP="002F2694">
      <w:pPr>
        <w:pStyle w:val="Heading2"/>
      </w:pPr>
      <w:r>
        <w:t>Key Legal Principles</w:t>
      </w:r>
    </w:p>
    <w:p w14:paraId="72FF0E2C" w14:textId="77777777" w:rsidR="002F2694" w:rsidRDefault="002F2694" w:rsidP="002F2694">
      <w:pPr>
        <w:pStyle w:val="Heading3"/>
      </w:pPr>
      <w:r>
        <w:t>1. AI Systems are Third-Party Recipients of Data</w:t>
      </w:r>
    </w:p>
    <w:p w14:paraId="3DCF9071" w14:textId="77777777" w:rsidR="002F2694" w:rsidRDefault="002F2694" w:rsidP="002F2694">
      <w:bookmarkStart w:id="0" w:name="_Hlk219123453"/>
      <w:r w:rsidRPr="005B521C">
        <w:rPr>
          <w:b/>
          <w:bCs/>
        </w:rPr>
        <w:t>Legal Principle:</w:t>
      </w:r>
      <w:r>
        <w:t xml:space="preserve"> Inputting personal information into AI systems (whether external services like ChatGPT or contracted AI platforms) is legally equivalent to disseminating that information to a third party.  </w:t>
      </w:r>
    </w:p>
    <w:bookmarkEnd w:id="0"/>
    <w:p w14:paraId="5EE50C9A" w14:textId="77777777" w:rsidR="002F2694" w:rsidRPr="005B521C" w:rsidRDefault="002F2694" w:rsidP="002F2694">
      <w:pPr>
        <w:rPr>
          <w:b/>
          <w:bCs/>
        </w:rPr>
      </w:pPr>
      <w:r w:rsidRPr="005B521C">
        <w:rPr>
          <w:b/>
          <w:bCs/>
        </w:rPr>
        <w:t>Practical Meaning</w:t>
      </w:r>
    </w:p>
    <w:p w14:paraId="142149B6" w14:textId="77777777" w:rsidR="002F2694" w:rsidRDefault="002F2694" w:rsidP="002F2694">
      <w:pPr>
        <w:pStyle w:val="ListParagraph"/>
        <w:numPr>
          <w:ilvl w:val="0"/>
          <w:numId w:val="31"/>
        </w:numPr>
      </w:pPr>
      <w:r>
        <w:t>Entering personal information into ChatGPT's, Claude, or Gemini’s interface is the same as sending that information to an external employee via email</w:t>
      </w:r>
    </w:p>
    <w:p w14:paraId="5C1595D2" w14:textId="77777777" w:rsidR="002F2694" w:rsidRDefault="002F2694" w:rsidP="002F2694">
      <w:pPr>
        <w:pStyle w:val="ListParagraph"/>
        <w:numPr>
          <w:ilvl w:val="0"/>
          <w:numId w:val="31"/>
        </w:numPr>
      </w:pPr>
      <w:r>
        <w:t>The same GDCDPA protections, notice requirements, and consent requirements apply as they would when sharing personal information with third parties via email or other means</w:t>
      </w:r>
    </w:p>
    <w:p w14:paraId="432176CD" w14:textId="77777777" w:rsidR="002F2694" w:rsidRDefault="002F2694" w:rsidP="002F2694">
      <w:pPr>
        <w:pStyle w:val="ListParagraph"/>
        <w:numPr>
          <w:ilvl w:val="0"/>
          <w:numId w:val="31"/>
        </w:numPr>
      </w:pPr>
      <w:r>
        <w:t>Agencies must have proper legal authority and safeguards to disseminate personal information to AI vendors</w:t>
      </w:r>
    </w:p>
    <w:p w14:paraId="75D76452" w14:textId="77777777" w:rsidR="002F2694" w:rsidRDefault="002F2694" w:rsidP="002F2694">
      <w:pPr>
        <w:pStyle w:val="ListParagraph"/>
        <w:numPr>
          <w:ilvl w:val="0"/>
          <w:numId w:val="31"/>
        </w:numPr>
      </w:pPr>
      <w:r>
        <w:lastRenderedPageBreak/>
        <w:t>All contractual protections required for vendors receiving personal information apply to AI service providers</w:t>
      </w:r>
    </w:p>
    <w:p w14:paraId="6330936D" w14:textId="77777777" w:rsidR="002F2694" w:rsidRPr="008A7977" w:rsidRDefault="002F2694" w:rsidP="002F2694">
      <w:pPr>
        <w:pStyle w:val="Heading4"/>
      </w:pPr>
      <w:r w:rsidRPr="008A7977">
        <w:t>Examples</w:t>
      </w:r>
    </w:p>
    <w:tbl>
      <w:tblPr>
        <w:tblStyle w:val="TableGrid"/>
        <w:tblW w:w="9445" w:type="dxa"/>
        <w:tblLook w:val="04A0" w:firstRow="1" w:lastRow="0" w:firstColumn="1" w:lastColumn="0" w:noHBand="0" w:noVBand="1"/>
      </w:tblPr>
      <w:tblGrid>
        <w:gridCol w:w="4722"/>
        <w:gridCol w:w="4723"/>
      </w:tblGrid>
      <w:tr w:rsidR="002F2694" w14:paraId="6D6D68C0" w14:textId="77777777" w:rsidTr="002F2694">
        <w:trPr>
          <w:cnfStyle w:val="100000000000" w:firstRow="1" w:lastRow="0" w:firstColumn="0" w:lastColumn="0" w:oddVBand="0" w:evenVBand="0" w:oddHBand="0" w:evenHBand="0" w:firstRowFirstColumn="0" w:firstRowLastColumn="0" w:lastRowFirstColumn="0" w:lastRowLastColumn="0"/>
        </w:trPr>
        <w:tc>
          <w:tcPr>
            <w:tcW w:w="4722" w:type="dxa"/>
            <w:shd w:val="clear" w:color="auto" w:fill="165E4E" w:themeFill="accent4" w:themeFillShade="40"/>
          </w:tcPr>
          <w:p w14:paraId="59949D54" w14:textId="066E833D" w:rsidR="002F2694" w:rsidRPr="008A7977" w:rsidRDefault="002F2694" w:rsidP="002F2694">
            <w:pPr>
              <w:tabs>
                <w:tab w:val="left" w:pos="3180"/>
              </w:tabs>
              <w:rPr>
                <w:b/>
                <w:bCs/>
                <w:color w:val="FFFFFF" w:themeColor="background1"/>
              </w:rPr>
            </w:pPr>
            <w:r w:rsidRPr="002F2694">
              <w:rPr>
                <w:b/>
                <w:bCs/>
                <w:color w:val="FFFFFF" w:themeColor="background1"/>
              </w:rPr>
              <w:t>Permitted</w:t>
            </w:r>
            <w:r>
              <w:rPr>
                <w:b/>
                <w:bCs/>
              </w:rPr>
              <w:tab/>
            </w:r>
          </w:p>
        </w:tc>
        <w:tc>
          <w:tcPr>
            <w:tcW w:w="4723" w:type="dxa"/>
            <w:shd w:val="clear" w:color="auto" w:fill="C00000"/>
          </w:tcPr>
          <w:p w14:paraId="35648C76" w14:textId="77777777" w:rsidR="002F2694" w:rsidRPr="008A7977" w:rsidRDefault="002F2694" w:rsidP="0030562F">
            <w:pPr>
              <w:rPr>
                <w:b/>
                <w:bCs/>
              </w:rPr>
            </w:pPr>
            <w:bookmarkStart w:id="1" w:name="_Hlk216705318"/>
            <w:r w:rsidRPr="000D7D91">
              <w:rPr>
                <w:b/>
                <w:bCs/>
              </w:rPr>
              <w:t>Prohibited</w:t>
            </w:r>
          </w:p>
        </w:tc>
      </w:tr>
      <w:tr w:rsidR="002F2694" w14:paraId="2F34F943" w14:textId="77777777" w:rsidTr="0030562F">
        <w:trPr>
          <w:cnfStyle w:val="000000100000" w:firstRow="0" w:lastRow="0" w:firstColumn="0" w:lastColumn="0" w:oddVBand="0" w:evenVBand="0" w:oddHBand="1" w:evenHBand="0" w:firstRowFirstColumn="0" w:firstRowLastColumn="0" w:lastRowFirstColumn="0" w:lastRowLastColumn="0"/>
        </w:trPr>
        <w:tc>
          <w:tcPr>
            <w:tcW w:w="4722" w:type="dxa"/>
          </w:tcPr>
          <w:p w14:paraId="19587E72" w14:textId="77777777" w:rsidR="002F2694" w:rsidRPr="008A7977" w:rsidRDefault="002F2694" w:rsidP="002F2694">
            <w:pPr>
              <w:pStyle w:val="Bulletedlist"/>
              <w:ind w:left="360"/>
            </w:pPr>
            <w:r w:rsidRPr="008A7977">
              <w:t xml:space="preserve">Staff </w:t>
            </w:r>
            <w:proofErr w:type="gramStart"/>
            <w:r w:rsidRPr="008A7977">
              <w:t>uses</w:t>
            </w:r>
            <w:proofErr w:type="gramEnd"/>
            <w:r w:rsidRPr="008A7977">
              <w:t xml:space="preserve"> VITA-approved private AI </w:t>
            </w:r>
            <w:r>
              <w:t>software</w:t>
            </w:r>
            <w:r w:rsidRPr="008A7977">
              <w:t xml:space="preserve"> with appropriate data protection agreement to analyze de-identified data</w:t>
            </w:r>
          </w:p>
          <w:p w14:paraId="72F79615" w14:textId="77777777" w:rsidR="002F2694" w:rsidRDefault="002F2694" w:rsidP="002F2694">
            <w:pPr>
              <w:pStyle w:val="Bulletedlist"/>
              <w:ind w:left="360"/>
            </w:pPr>
            <w:r w:rsidRPr="008A7977">
              <w:t>Developer uses public AI service with synthetic test data containing no personal information</w:t>
            </w:r>
          </w:p>
        </w:tc>
        <w:tc>
          <w:tcPr>
            <w:tcW w:w="4723" w:type="dxa"/>
          </w:tcPr>
          <w:p w14:paraId="1F458616" w14:textId="77777777" w:rsidR="002F2694" w:rsidRDefault="002F2694" w:rsidP="002F2694">
            <w:pPr>
              <w:pStyle w:val="Bulletedlist"/>
              <w:numPr>
                <w:ilvl w:val="0"/>
                <w:numId w:val="30"/>
              </w:numPr>
              <w:ind w:left="360"/>
            </w:pPr>
            <w:r>
              <w:t>Staff member copies citizen complaint containing name, address, and case details into ChatGPT to draft a response</w:t>
            </w:r>
          </w:p>
          <w:p w14:paraId="4935C78B" w14:textId="77777777" w:rsidR="002F2694" w:rsidRDefault="002F2694" w:rsidP="002F2694">
            <w:pPr>
              <w:pStyle w:val="Bulletedlist"/>
              <w:ind w:left="360"/>
            </w:pPr>
            <w:r>
              <w:t>Analyst uploads spreadsheet with employee performance data to Claude.AI for analysis</w:t>
            </w:r>
          </w:p>
        </w:tc>
      </w:tr>
    </w:tbl>
    <w:bookmarkEnd w:id="1"/>
    <w:p w14:paraId="1E4B4A0C" w14:textId="77777777" w:rsidR="002F2694" w:rsidRDefault="002F2694" w:rsidP="002F2694">
      <w:pPr>
        <w:pStyle w:val="Heading3"/>
      </w:pPr>
      <w:r>
        <w:t>2. AI-Generated Information Can Be Personal Information</w:t>
      </w:r>
    </w:p>
    <w:p w14:paraId="49646582" w14:textId="21AD63EE" w:rsidR="002F2694" w:rsidRDefault="002F2694" w:rsidP="002F2694">
      <w:r w:rsidRPr="00EC62AA">
        <w:rPr>
          <w:b/>
          <w:bCs/>
        </w:rPr>
        <w:t>Legal Principle:</w:t>
      </w:r>
      <w:r>
        <w:t xml:space="preserve"> </w:t>
      </w:r>
      <w:r w:rsidRPr="00864366">
        <w:t xml:space="preserve">Information inferred or generated by AI systems about individuals (such as risk scores, predictions, classifications, or recommendations) constitutes personal information under the GDCDPA when it "describes, locates or indexes anything about an individual" or "affords a basis for inferring personal </w:t>
      </w:r>
      <w:proofErr w:type="gramStart"/>
      <w:r w:rsidRPr="00864366">
        <w:t>characteristics</w:t>
      </w:r>
      <w:r>
        <w:t>.”</w:t>
      </w:r>
      <w:proofErr w:type="gramEnd"/>
      <w:r>
        <w:t xml:space="preserve">  If discrete pieces of information could be tied together to identify an individual, that collection already constituted "personal information" </w:t>
      </w:r>
      <w:proofErr w:type="gramStart"/>
      <w:r>
        <w:t>whether or not</w:t>
      </w:r>
      <w:proofErr w:type="gramEnd"/>
      <w:r>
        <w:t xml:space="preserve"> AI was needed to connect the dots.</w:t>
      </w:r>
      <w:r w:rsidRPr="00864366">
        <w:t xml:space="preserve"> </w:t>
      </w:r>
    </w:p>
    <w:p w14:paraId="2B96FA14" w14:textId="77777777" w:rsidR="002F2694" w:rsidRPr="006E270B" w:rsidRDefault="002F2694" w:rsidP="002F2694">
      <w:pPr>
        <w:rPr>
          <w:b/>
          <w:bCs/>
        </w:rPr>
      </w:pPr>
      <w:r w:rsidRPr="006E270B">
        <w:rPr>
          <w:b/>
          <w:bCs/>
        </w:rPr>
        <w:t>Examples of</w:t>
      </w:r>
      <w:r>
        <w:rPr>
          <w:b/>
          <w:bCs/>
        </w:rPr>
        <w:t xml:space="preserve"> </w:t>
      </w:r>
      <w:r w:rsidRPr="006E270B">
        <w:rPr>
          <w:b/>
          <w:bCs/>
        </w:rPr>
        <w:t>AI-Generated Personal Information</w:t>
      </w:r>
      <w:r>
        <w:rPr>
          <w:b/>
          <w:bCs/>
        </w:rPr>
        <w:t xml:space="preserve"> if they relate to an individual</w:t>
      </w:r>
    </w:p>
    <w:p w14:paraId="5A04A08A" w14:textId="77777777" w:rsidR="002F2694" w:rsidRDefault="002F2694" w:rsidP="002F2694">
      <w:pPr>
        <w:pStyle w:val="ListParagraph"/>
        <w:numPr>
          <w:ilvl w:val="0"/>
          <w:numId w:val="37"/>
        </w:numPr>
      </w:pPr>
      <w:r>
        <w:t>Risk score predicting likelihood of benefits fraud</w:t>
      </w:r>
    </w:p>
    <w:p w14:paraId="7E8FAEB6" w14:textId="77777777" w:rsidR="002F2694" w:rsidRDefault="002F2694" w:rsidP="002F2694">
      <w:pPr>
        <w:pStyle w:val="ListParagraph"/>
        <w:numPr>
          <w:ilvl w:val="0"/>
          <w:numId w:val="37"/>
        </w:numPr>
      </w:pPr>
      <w:r>
        <w:t>Eligibility prediction for government services</w:t>
      </w:r>
    </w:p>
    <w:p w14:paraId="692E817D" w14:textId="77777777" w:rsidR="002F2694" w:rsidRDefault="002F2694" w:rsidP="002F2694">
      <w:pPr>
        <w:pStyle w:val="ListParagraph"/>
        <w:numPr>
          <w:ilvl w:val="0"/>
          <w:numId w:val="37"/>
        </w:numPr>
      </w:pPr>
      <w:r>
        <w:t>Priority ranking for housing assistance waitlist</w:t>
      </w:r>
    </w:p>
    <w:p w14:paraId="382A7E8A" w14:textId="77777777" w:rsidR="002F2694" w:rsidRDefault="002F2694" w:rsidP="002F2694">
      <w:pPr>
        <w:pStyle w:val="ListParagraph"/>
        <w:numPr>
          <w:ilvl w:val="0"/>
          <w:numId w:val="37"/>
        </w:numPr>
      </w:pPr>
      <w:r>
        <w:t>Classification of citizen inquiry sentiment (positive/negative/neutral)</w:t>
      </w:r>
    </w:p>
    <w:p w14:paraId="51453DB6" w14:textId="77777777" w:rsidR="002F2694" w:rsidRDefault="002F2694" w:rsidP="002F2694">
      <w:pPr>
        <w:pStyle w:val="ListParagraph"/>
        <w:numPr>
          <w:ilvl w:val="0"/>
          <w:numId w:val="37"/>
        </w:numPr>
      </w:pPr>
      <w:r>
        <w:t>Predicted income level inferred from application data</w:t>
      </w:r>
    </w:p>
    <w:p w14:paraId="685D5731" w14:textId="77777777" w:rsidR="002F2694" w:rsidRDefault="002F2694" w:rsidP="002F2694">
      <w:pPr>
        <w:pStyle w:val="ListParagraph"/>
        <w:numPr>
          <w:ilvl w:val="0"/>
          <w:numId w:val="37"/>
        </w:numPr>
      </w:pPr>
      <w:r>
        <w:t>Likelihood score for permit approval</w:t>
      </w:r>
    </w:p>
    <w:p w14:paraId="5FE6D81A" w14:textId="77777777" w:rsidR="002F2694" w:rsidRDefault="002F2694" w:rsidP="002F2694">
      <w:pPr>
        <w:pStyle w:val="ListParagraph"/>
        <w:numPr>
          <w:ilvl w:val="0"/>
          <w:numId w:val="37"/>
        </w:numPr>
      </w:pPr>
      <w:r>
        <w:t>Estimated time to case resolution</w:t>
      </w:r>
    </w:p>
    <w:p w14:paraId="35FD4D77" w14:textId="77777777" w:rsidR="002F2694" w:rsidRPr="00EC62AA" w:rsidRDefault="002F2694" w:rsidP="002F2694">
      <w:pPr>
        <w:rPr>
          <w:b/>
          <w:bCs/>
        </w:rPr>
      </w:pPr>
      <w:r w:rsidRPr="00EC62AA">
        <w:rPr>
          <w:b/>
          <w:bCs/>
        </w:rPr>
        <w:t>Practical Meaning</w:t>
      </w:r>
    </w:p>
    <w:p w14:paraId="519196E9" w14:textId="77777777" w:rsidR="002F2694" w:rsidRDefault="002F2694" w:rsidP="002F2694">
      <w:pPr>
        <w:pStyle w:val="ListParagraph"/>
        <w:numPr>
          <w:ilvl w:val="0"/>
          <w:numId w:val="36"/>
        </w:numPr>
      </w:pPr>
      <w:r>
        <w:t>These AI-generated data points "afford a basis for inferring personal characteristics"</w:t>
      </w:r>
    </w:p>
    <w:p w14:paraId="595749D3" w14:textId="77777777" w:rsidR="002F2694" w:rsidRDefault="002F2694" w:rsidP="002F2694">
      <w:pPr>
        <w:pStyle w:val="ListParagraph"/>
        <w:numPr>
          <w:ilvl w:val="0"/>
          <w:numId w:val="36"/>
        </w:numPr>
      </w:pPr>
      <w:r>
        <w:lastRenderedPageBreak/>
        <w:t>All GDCDPA rights apply such as access, correction, accuracy requirements, retention schedules, and security protections</w:t>
      </w:r>
    </w:p>
    <w:p w14:paraId="04B8140C" w14:textId="77777777" w:rsidR="002F2694" w:rsidRDefault="002F2694" w:rsidP="002F2694">
      <w:pPr>
        <w:pStyle w:val="ListParagraph"/>
        <w:numPr>
          <w:ilvl w:val="1"/>
          <w:numId w:val="36"/>
        </w:numPr>
        <w:spacing w:before="0" w:after="0" w:line="240" w:lineRule="auto"/>
      </w:pPr>
      <w:r>
        <w:t>Individuals have the right to access AI-generated information about them</w:t>
      </w:r>
    </w:p>
    <w:p w14:paraId="24E5D585" w14:textId="77777777" w:rsidR="002F2694" w:rsidRDefault="002F2694" w:rsidP="002F2694">
      <w:pPr>
        <w:pStyle w:val="ListParagraph"/>
        <w:numPr>
          <w:ilvl w:val="1"/>
          <w:numId w:val="36"/>
        </w:numPr>
        <w:spacing w:before="0" w:after="0" w:line="240" w:lineRule="auto"/>
      </w:pPr>
      <w:r>
        <w:t>Individuals have the right to correct inaccurate AI-generated information</w:t>
      </w:r>
    </w:p>
    <w:p w14:paraId="203D1BE5" w14:textId="77777777" w:rsidR="002F2694" w:rsidRDefault="002F2694" w:rsidP="002F2694">
      <w:pPr>
        <w:pStyle w:val="ListParagraph"/>
        <w:numPr>
          <w:ilvl w:val="1"/>
          <w:numId w:val="36"/>
        </w:numPr>
        <w:spacing w:before="0" w:after="0" w:line="240" w:lineRule="auto"/>
      </w:pPr>
      <w:r>
        <w:t>Agencies must maintain accuracy standards for AI-generated personal information</w:t>
      </w:r>
    </w:p>
    <w:p w14:paraId="6363EC18" w14:textId="77777777" w:rsidR="002F2694" w:rsidRDefault="002F2694" w:rsidP="002F2694">
      <w:pPr>
        <w:pStyle w:val="ListParagraph"/>
        <w:numPr>
          <w:ilvl w:val="1"/>
          <w:numId w:val="36"/>
        </w:numPr>
        <w:spacing w:before="0" w:after="0" w:line="240" w:lineRule="auto"/>
      </w:pPr>
      <w:r>
        <w:t>Retention schedules apply to AI-generated personal information</w:t>
      </w:r>
    </w:p>
    <w:p w14:paraId="0B652EA3" w14:textId="77777777" w:rsidR="002F2694" w:rsidRPr="00760F51" w:rsidRDefault="002F2694" w:rsidP="002F2694">
      <w:pPr>
        <w:pStyle w:val="Heading4"/>
        <w:rPr>
          <w:b/>
          <w:bCs/>
        </w:rPr>
      </w:pPr>
      <w:r w:rsidRPr="00760F51">
        <w:rPr>
          <w:b/>
          <w:bCs/>
        </w:rPr>
        <w:t>Agency Obligations for AI-Generated Personal Information</w:t>
      </w:r>
    </w:p>
    <w:p w14:paraId="43BAD57E" w14:textId="77777777" w:rsidR="002F2694" w:rsidRDefault="002F2694" w:rsidP="002F2694">
      <w:pPr>
        <w:pStyle w:val="Heading5"/>
      </w:pPr>
      <w:r>
        <w:t>Accuracy (GDCDPA § 2.2-</w:t>
      </w:r>
      <w:proofErr w:type="gramStart"/>
      <w:r>
        <w:t>3800.C.</w:t>
      </w:r>
      <w:proofErr w:type="gramEnd"/>
      <w:r>
        <w:t xml:space="preserve">5) </w:t>
      </w:r>
    </w:p>
    <w:p w14:paraId="719D180A" w14:textId="77777777" w:rsidR="002F2694" w:rsidRPr="00A67FE3" w:rsidRDefault="002F2694" w:rsidP="002F2694">
      <w:pPr>
        <w:spacing w:before="0"/>
        <w:rPr>
          <w:i/>
          <w:iCs/>
        </w:rPr>
      </w:pPr>
      <w:r w:rsidRPr="00A67FE3">
        <w:rPr>
          <w:i/>
          <w:iCs/>
        </w:rPr>
        <w:t xml:space="preserve">Use the </w:t>
      </w:r>
      <w:hyperlink r:id="rId8" w:history="1">
        <w:r w:rsidRPr="000D7D91">
          <w:rPr>
            <w:rStyle w:val="Hyperlink"/>
            <w:i/>
            <w:iCs/>
          </w:rPr>
          <w:t>AI Mod</w:t>
        </w:r>
        <w:r w:rsidRPr="000D7D91">
          <w:rPr>
            <w:rStyle w:val="Hyperlink"/>
            <w:i/>
            <w:iCs/>
          </w:rPr>
          <w:t>e</w:t>
        </w:r>
        <w:r w:rsidRPr="000D7D91">
          <w:rPr>
            <w:rStyle w:val="Hyperlink"/>
            <w:i/>
            <w:iCs/>
          </w:rPr>
          <w:t>l Card</w:t>
        </w:r>
      </w:hyperlink>
    </w:p>
    <w:p w14:paraId="32B02C99" w14:textId="77777777" w:rsidR="002F2694" w:rsidRDefault="002F2694" w:rsidP="002F2694">
      <w:pPr>
        <w:pStyle w:val="ListParagraph"/>
        <w:numPr>
          <w:ilvl w:val="0"/>
          <w:numId w:val="38"/>
        </w:numPr>
      </w:pPr>
      <w:r>
        <w:t>AI-generated personal information must be accurate and current</w:t>
      </w:r>
    </w:p>
    <w:p w14:paraId="2BABB1E4" w14:textId="77777777" w:rsidR="002F2694" w:rsidRDefault="002F2694" w:rsidP="002F2694">
      <w:pPr>
        <w:pStyle w:val="ListParagraph"/>
        <w:numPr>
          <w:ilvl w:val="0"/>
          <w:numId w:val="38"/>
        </w:numPr>
      </w:pPr>
      <w:r>
        <w:t>Regular validation of AI outputs against ground truth must occur</w:t>
      </w:r>
    </w:p>
    <w:p w14:paraId="74D4362A" w14:textId="77777777" w:rsidR="002F2694" w:rsidRDefault="002F2694" w:rsidP="002F2694">
      <w:pPr>
        <w:pStyle w:val="ListParagraph"/>
        <w:numPr>
          <w:ilvl w:val="0"/>
          <w:numId w:val="38"/>
        </w:numPr>
      </w:pPr>
      <w:r>
        <w:t>Procedures to correct inaccurate AI-generated scores or predictions must be provided</w:t>
      </w:r>
    </w:p>
    <w:p w14:paraId="0C2EEE42" w14:textId="77777777" w:rsidR="002F2694" w:rsidRDefault="002F2694" w:rsidP="002F2694">
      <w:pPr>
        <w:pStyle w:val="ListParagraph"/>
        <w:numPr>
          <w:ilvl w:val="0"/>
          <w:numId w:val="38"/>
        </w:numPr>
      </w:pPr>
      <w:r>
        <w:t>Documentation of AI model accuracy rates must exist and be current</w:t>
      </w:r>
    </w:p>
    <w:p w14:paraId="7F771D55" w14:textId="77777777" w:rsidR="002F2694" w:rsidRDefault="002F2694" w:rsidP="002F2694">
      <w:pPr>
        <w:pStyle w:val="Heading5"/>
      </w:pPr>
      <w:r>
        <w:t>Individual Access Rights (GDCDPA § 2.2-3806)</w:t>
      </w:r>
    </w:p>
    <w:p w14:paraId="17AD5166" w14:textId="77777777" w:rsidR="002F2694" w:rsidRDefault="002F2694" w:rsidP="002F2694">
      <w:pPr>
        <w:pStyle w:val="ListParagraph"/>
        <w:numPr>
          <w:ilvl w:val="0"/>
          <w:numId w:val="39"/>
        </w:numPr>
      </w:pPr>
      <w:r>
        <w:t>Individuals have the right to know what AI-generated information exists about them</w:t>
      </w:r>
    </w:p>
    <w:p w14:paraId="6F1871EB" w14:textId="77777777" w:rsidR="002F2694" w:rsidRDefault="002F2694" w:rsidP="002F2694">
      <w:pPr>
        <w:pStyle w:val="ListParagraph"/>
        <w:numPr>
          <w:ilvl w:val="0"/>
          <w:numId w:val="39"/>
        </w:numPr>
      </w:pPr>
      <w:r>
        <w:t>Agencies must provide access to AI scores, predictions, and classifications upon request</w:t>
      </w:r>
    </w:p>
    <w:p w14:paraId="17D74999" w14:textId="77777777" w:rsidR="002F2694" w:rsidRDefault="002F2694" w:rsidP="002F2694">
      <w:pPr>
        <w:pStyle w:val="ListParagraph"/>
        <w:numPr>
          <w:ilvl w:val="0"/>
          <w:numId w:val="39"/>
        </w:numPr>
      </w:pPr>
      <w:r>
        <w:t>Explanations must be provided in understandable terms</w:t>
      </w:r>
    </w:p>
    <w:p w14:paraId="392F248F" w14:textId="77777777" w:rsidR="002F2694" w:rsidRDefault="002F2694" w:rsidP="002F2694">
      <w:pPr>
        <w:pStyle w:val="Heading5"/>
      </w:pPr>
      <w:r>
        <w:t>Correction Rights (GDCDPA § 2.2-3807)</w:t>
      </w:r>
    </w:p>
    <w:p w14:paraId="609A61B5" w14:textId="77777777" w:rsidR="002F2694" w:rsidRDefault="002F2694" w:rsidP="002F2694">
      <w:pPr>
        <w:pStyle w:val="ListParagraph"/>
        <w:numPr>
          <w:ilvl w:val="0"/>
          <w:numId w:val="40"/>
        </w:numPr>
      </w:pPr>
      <w:r>
        <w:t>Individuals can challenge inaccurate AI-generated information</w:t>
      </w:r>
    </w:p>
    <w:p w14:paraId="1DA33BD7" w14:textId="77777777" w:rsidR="002F2694" w:rsidRDefault="002F2694" w:rsidP="002F2694">
      <w:pPr>
        <w:pStyle w:val="ListParagraph"/>
        <w:numPr>
          <w:ilvl w:val="0"/>
          <w:numId w:val="40"/>
        </w:numPr>
      </w:pPr>
      <w:r>
        <w:t>A process is required for human review of disputed AI outputs</w:t>
      </w:r>
    </w:p>
    <w:p w14:paraId="1A3B6DD7" w14:textId="77777777" w:rsidR="002F2694" w:rsidRDefault="002F2694" w:rsidP="002F2694">
      <w:pPr>
        <w:pStyle w:val="ListParagraph"/>
        <w:numPr>
          <w:ilvl w:val="0"/>
          <w:numId w:val="40"/>
        </w:numPr>
      </w:pPr>
      <w:r>
        <w:t>If AI output is found to be inaccurate, it must be corrected and affected decisions reconsidered</w:t>
      </w:r>
    </w:p>
    <w:p w14:paraId="74F19690" w14:textId="77777777" w:rsidR="002F2694" w:rsidRDefault="002F2694" w:rsidP="002F2694">
      <w:pPr>
        <w:pStyle w:val="Heading5"/>
      </w:pPr>
      <w:r>
        <w:t>Retention Schedules</w:t>
      </w:r>
    </w:p>
    <w:p w14:paraId="7329FAC2" w14:textId="77777777" w:rsidR="002F2694" w:rsidRDefault="002F2694" w:rsidP="002F2694">
      <w:pPr>
        <w:pStyle w:val="ListParagraph"/>
        <w:numPr>
          <w:ilvl w:val="0"/>
          <w:numId w:val="41"/>
        </w:numPr>
      </w:pPr>
      <w:r>
        <w:t>AI-generated personal information is subject to the same retention schedules as the underlying source data (see Key Principle 4)</w:t>
      </w:r>
    </w:p>
    <w:p w14:paraId="2C85ECC6" w14:textId="77777777" w:rsidR="002F2694" w:rsidRDefault="002F2694" w:rsidP="002F2694">
      <w:pPr>
        <w:pStyle w:val="Heading5"/>
      </w:pPr>
      <w:r>
        <w:t>Security (GDCDPA § 2.2-</w:t>
      </w:r>
      <w:proofErr w:type="gramStart"/>
      <w:r>
        <w:t>3800.C.</w:t>
      </w:r>
      <w:proofErr w:type="gramEnd"/>
      <w:r>
        <w:t>8)</w:t>
      </w:r>
    </w:p>
    <w:p w14:paraId="28D92AFE" w14:textId="77777777" w:rsidR="002F2694" w:rsidRDefault="002F2694" w:rsidP="002F2694">
      <w:pPr>
        <w:pStyle w:val="ListParagraph"/>
        <w:numPr>
          <w:ilvl w:val="0"/>
          <w:numId w:val="42"/>
        </w:numPr>
      </w:pPr>
      <w:r>
        <w:lastRenderedPageBreak/>
        <w:t>AI-generated personal information must be protected with same security controls (see SEC 530) as other personal information</w:t>
      </w:r>
    </w:p>
    <w:p w14:paraId="2E531B8E" w14:textId="77777777" w:rsidR="002F2694" w:rsidRDefault="002F2694" w:rsidP="002F2694">
      <w:pPr>
        <w:pStyle w:val="ListParagraph"/>
        <w:numPr>
          <w:ilvl w:val="0"/>
          <w:numId w:val="42"/>
        </w:numPr>
      </w:pPr>
      <w:r>
        <w:t>Access must be limited to those with a need to know</w:t>
      </w:r>
    </w:p>
    <w:p w14:paraId="4554E2CA" w14:textId="77777777" w:rsidR="002F2694" w:rsidRDefault="002F2694" w:rsidP="002F2694">
      <w:pPr>
        <w:pStyle w:val="ListParagraph"/>
        <w:numPr>
          <w:ilvl w:val="0"/>
          <w:numId w:val="42"/>
        </w:numPr>
      </w:pPr>
      <w:r>
        <w:t>Audit trails of who accessed AI-generated scores/predictions must be available and retained per SEC 530 and GDCDPA</w:t>
      </w:r>
    </w:p>
    <w:p w14:paraId="648D2ECE" w14:textId="77777777" w:rsidR="002F2694" w:rsidRDefault="002F2694" w:rsidP="002F2694">
      <w:pPr>
        <w:pStyle w:val="Heading3"/>
      </w:pPr>
      <w:r>
        <w:t xml:space="preserve">3. Repurposing Data for AI Requires New Authorization and Notice </w:t>
      </w:r>
    </w:p>
    <w:p w14:paraId="1749835C" w14:textId="77777777" w:rsidR="002F2694" w:rsidRDefault="002F2694" w:rsidP="002F2694">
      <w:r w:rsidRPr="00893C8F">
        <w:rPr>
          <w:b/>
          <w:bCs/>
        </w:rPr>
        <w:t>Legal Principle:</w:t>
      </w:r>
      <w:r>
        <w:t xml:space="preserve"> </w:t>
      </w:r>
      <w:r w:rsidRPr="001B056C">
        <w:t>P</w:t>
      </w:r>
      <w:r>
        <w:t>er</w:t>
      </w:r>
      <w:r w:rsidRPr="001B056C">
        <w:t xml:space="preserve"> GDCDPA § 2.2-3806</w:t>
      </w:r>
      <w:r>
        <w:t xml:space="preserve">, the same rules apply </w:t>
      </w:r>
      <w:proofErr w:type="gramStart"/>
      <w:r>
        <w:t>whether or not</w:t>
      </w:r>
      <w:proofErr w:type="gramEnd"/>
      <w:r>
        <w:t xml:space="preserve"> AI is being used to carry out a "proper purpose." When </w:t>
      </w:r>
      <w:proofErr w:type="gramStart"/>
      <w:r>
        <w:t>repurposing</w:t>
      </w:r>
      <w:proofErr w:type="gramEnd"/>
      <w:r>
        <w:t xml:space="preserve"> data collected for one purpose (e.g., benefits administration) to use in AI applications serving a different purpose (e.g., fraud detection, service optimization, predictive analytics), agencies must:</w:t>
      </w:r>
    </w:p>
    <w:p w14:paraId="7A4110D3" w14:textId="77777777" w:rsidR="002F2694" w:rsidRDefault="002F2694" w:rsidP="002F2694">
      <w:pPr>
        <w:pStyle w:val="ListParagraph"/>
        <w:numPr>
          <w:ilvl w:val="1"/>
          <w:numId w:val="20"/>
        </w:numPr>
        <w:spacing w:before="0" w:after="0" w:line="240" w:lineRule="auto"/>
      </w:pPr>
      <w:r>
        <w:t>Provide new notice to data subjects describing the new AI-based purpose</w:t>
      </w:r>
    </w:p>
    <w:p w14:paraId="2D2F5588" w14:textId="77777777" w:rsidR="002F2694" w:rsidRDefault="002F2694" w:rsidP="002F2694">
      <w:pPr>
        <w:pStyle w:val="ListParagraph"/>
        <w:numPr>
          <w:ilvl w:val="1"/>
          <w:numId w:val="20"/>
        </w:numPr>
        <w:spacing w:before="0" w:after="0" w:line="240" w:lineRule="auto"/>
      </w:pPr>
      <w:r>
        <w:t>Obtain new consent when required by the original collection authority or applicable law</w:t>
      </w:r>
    </w:p>
    <w:p w14:paraId="0BF10505" w14:textId="77777777" w:rsidR="002F2694" w:rsidRDefault="002F2694" w:rsidP="002F2694">
      <w:pPr>
        <w:pStyle w:val="ListParagraph"/>
        <w:numPr>
          <w:ilvl w:val="1"/>
          <w:numId w:val="20"/>
        </w:numPr>
        <w:spacing w:before="0" w:after="0" w:line="240" w:lineRule="auto"/>
      </w:pPr>
      <w:r>
        <w:t>Document the legal authority for the new AI-based purpose</w:t>
      </w:r>
    </w:p>
    <w:p w14:paraId="385A56A6" w14:textId="77777777" w:rsidR="002F2694" w:rsidRDefault="002F2694" w:rsidP="002F2694">
      <w:pPr>
        <w:pStyle w:val="ListParagraph"/>
        <w:numPr>
          <w:ilvl w:val="1"/>
          <w:numId w:val="20"/>
        </w:numPr>
        <w:spacing w:before="0" w:after="0" w:line="240" w:lineRule="auto"/>
      </w:pPr>
      <w:r>
        <w:t>The new purpose must constitute a "proper purpose" under the agency's statutory authority</w:t>
      </w:r>
    </w:p>
    <w:p w14:paraId="7CBB033B" w14:textId="77777777" w:rsidR="002F2694" w:rsidRPr="00AF40AD" w:rsidRDefault="002F2694" w:rsidP="002F2694">
      <w:pPr>
        <w:pStyle w:val="Heading4"/>
      </w:pPr>
      <w:r w:rsidRPr="00AF40AD">
        <w:t>Required Steps When Repurposing Data for AI</w:t>
      </w:r>
    </w:p>
    <w:p w14:paraId="2D77E1F9" w14:textId="77777777" w:rsidR="002F2694" w:rsidRPr="00385CAD" w:rsidRDefault="002F2694" w:rsidP="002F2694">
      <w:pPr>
        <w:pStyle w:val="ListParagraph"/>
        <w:numPr>
          <w:ilvl w:val="1"/>
          <w:numId w:val="25"/>
        </w:numPr>
        <w:rPr>
          <w:b/>
          <w:bCs/>
        </w:rPr>
      </w:pPr>
      <w:r w:rsidRPr="00385CAD">
        <w:rPr>
          <w:b/>
          <w:bCs/>
        </w:rPr>
        <w:t>Legal Authority Analysis</w:t>
      </w:r>
    </w:p>
    <w:p w14:paraId="6B24EAE4" w14:textId="77777777" w:rsidR="002F2694" w:rsidRDefault="002F2694" w:rsidP="002F2694">
      <w:pPr>
        <w:pStyle w:val="ListParagraph"/>
        <w:numPr>
          <w:ilvl w:val="2"/>
          <w:numId w:val="26"/>
        </w:numPr>
      </w:pPr>
      <w:r>
        <w:t>Review original statutory authority for data collection</w:t>
      </w:r>
    </w:p>
    <w:p w14:paraId="02541A14" w14:textId="77777777" w:rsidR="002F2694" w:rsidRDefault="002F2694" w:rsidP="002F2694">
      <w:pPr>
        <w:pStyle w:val="ListParagraph"/>
        <w:numPr>
          <w:ilvl w:val="2"/>
          <w:numId w:val="26"/>
        </w:numPr>
      </w:pPr>
      <w:r>
        <w:t>Determine if new AI purpose falls within that authority</w:t>
      </w:r>
    </w:p>
    <w:p w14:paraId="6F791E72" w14:textId="77777777" w:rsidR="002F2694" w:rsidRDefault="002F2694" w:rsidP="002F2694">
      <w:pPr>
        <w:pStyle w:val="ListParagraph"/>
        <w:numPr>
          <w:ilvl w:val="2"/>
          <w:numId w:val="26"/>
        </w:numPr>
      </w:pPr>
      <w:r>
        <w:t xml:space="preserve">If not, identify additional legal authority for new </w:t>
      </w:r>
      <w:proofErr w:type="gramStart"/>
      <w:r>
        <w:t>purpose</w:t>
      </w:r>
      <w:proofErr w:type="gramEnd"/>
    </w:p>
    <w:p w14:paraId="1491E990" w14:textId="77777777" w:rsidR="002F2694" w:rsidRDefault="002F2694" w:rsidP="002F2694">
      <w:pPr>
        <w:pStyle w:val="ListParagraph"/>
        <w:numPr>
          <w:ilvl w:val="2"/>
          <w:numId w:val="26"/>
        </w:numPr>
      </w:pPr>
      <w:r>
        <w:t>Document legal basis in writing</w:t>
      </w:r>
    </w:p>
    <w:p w14:paraId="3CBA0451" w14:textId="77777777" w:rsidR="002F2694" w:rsidRPr="00385CAD" w:rsidRDefault="002F2694" w:rsidP="002F2694">
      <w:pPr>
        <w:pStyle w:val="ListParagraph"/>
        <w:numPr>
          <w:ilvl w:val="1"/>
          <w:numId w:val="25"/>
        </w:numPr>
        <w:rPr>
          <w:b/>
          <w:bCs/>
        </w:rPr>
      </w:pPr>
      <w:r w:rsidRPr="00385CAD">
        <w:rPr>
          <w:b/>
          <w:bCs/>
        </w:rPr>
        <w:t>Notice to Data Subjects</w:t>
      </w:r>
    </w:p>
    <w:p w14:paraId="47446A72" w14:textId="77777777" w:rsidR="002F2694" w:rsidRDefault="002F2694" w:rsidP="002F2694">
      <w:pPr>
        <w:pStyle w:val="ListParagraph"/>
        <w:numPr>
          <w:ilvl w:val="2"/>
          <w:numId w:val="27"/>
        </w:numPr>
      </w:pPr>
      <w:r>
        <w:t xml:space="preserve">Provide clear notice that personal information will be used for AI </w:t>
      </w:r>
      <w:proofErr w:type="gramStart"/>
      <w:r>
        <w:t>application</w:t>
      </w:r>
      <w:proofErr w:type="gramEnd"/>
    </w:p>
    <w:p w14:paraId="26B47B25" w14:textId="77777777" w:rsidR="002F2694" w:rsidRDefault="002F2694" w:rsidP="002F2694">
      <w:pPr>
        <w:pStyle w:val="ListParagraph"/>
        <w:numPr>
          <w:ilvl w:val="2"/>
          <w:numId w:val="27"/>
        </w:numPr>
      </w:pPr>
      <w:r>
        <w:t xml:space="preserve">Describe the AI system's purpose and how it will use their information (NOTE:  Use the </w:t>
      </w:r>
      <w:hyperlink r:id="rId9" w:history="1">
        <w:r w:rsidRPr="000D7D91">
          <w:rPr>
            <w:rStyle w:val="Hyperlink"/>
            <w:i/>
            <w:iCs/>
          </w:rPr>
          <w:t>AI Model Card</w:t>
        </w:r>
      </w:hyperlink>
      <w:r>
        <w:t>)</w:t>
      </w:r>
    </w:p>
    <w:p w14:paraId="74E50B36" w14:textId="77777777" w:rsidR="002F2694" w:rsidRDefault="002F2694" w:rsidP="002F2694">
      <w:pPr>
        <w:pStyle w:val="ListParagraph"/>
        <w:numPr>
          <w:ilvl w:val="2"/>
          <w:numId w:val="27"/>
        </w:numPr>
      </w:pPr>
      <w:r>
        <w:t>Explain any automated decision-making that will occur</w:t>
      </w:r>
    </w:p>
    <w:p w14:paraId="11EC0F7B" w14:textId="77777777" w:rsidR="002F2694" w:rsidRDefault="002F2694" w:rsidP="002F2694">
      <w:pPr>
        <w:pStyle w:val="ListParagraph"/>
        <w:numPr>
          <w:ilvl w:val="2"/>
          <w:numId w:val="27"/>
        </w:numPr>
      </w:pPr>
      <w:r>
        <w:t>Provide notice before implementing new AI use, not after</w:t>
      </w:r>
    </w:p>
    <w:p w14:paraId="281A94B6" w14:textId="77777777" w:rsidR="002F2694" w:rsidRPr="00385CAD" w:rsidRDefault="002F2694" w:rsidP="002F2694">
      <w:pPr>
        <w:pStyle w:val="ListParagraph"/>
        <w:numPr>
          <w:ilvl w:val="1"/>
          <w:numId w:val="25"/>
        </w:numPr>
        <w:rPr>
          <w:b/>
          <w:bCs/>
        </w:rPr>
      </w:pPr>
      <w:r w:rsidRPr="00385CAD">
        <w:rPr>
          <w:b/>
          <w:bCs/>
        </w:rPr>
        <w:t>Consent (if required)</w:t>
      </w:r>
    </w:p>
    <w:p w14:paraId="1EC7D858" w14:textId="77777777" w:rsidR="002F2694" w:rsidRDefault="002F2694" w:rsidP="002F2694">
      <w:pPr>
        <w:pStyle w:val="ListParagraph"/>
        <w:numPr>
          <w:ilvl w:val="2"/>
          <w:numId w:val="28"/>
        </w:numPr>
      </w:pPr>
      <w:r>
        <w:t>Determine if original collection required consent</w:t>
      </w:r>
    </w:p>
    <w:p w14:paraId="73C373B8" w14:textId="77777777" w:rsidR="002F2694" w:rsidRDefault="002F2694" w:rsidP="002F2694">
      <w:pPr>
        <w:pStyle w:val="ListParagraph"/>
        <w:numPr>
          <w:ilvl w:val="2"/>
          <w:numId w:val="28"/>
        </w:numPr>
      </w:pPr>
      <w:r>
        <w:lastRenderedPageBreak/>
        <w:t>Determine if new purpose requires consent under agency's statutory authority</w:t>
      </w:r>
    </w:p>
    <w:p w14:paraId="2C3B4C30" w14:textId="77777777" w:rsidR="002F2694" w:rsidRDefault="002F2694" w:rsidP="002F2694">
      <w:pPr>
        <w:pStyle w:val="ListParagraph"/>
        <w:numPr>
          <w:ilvl w:val="2"/>
          <w:numId w:val="28"/>
        </w:numPr>
      </w:pPr>
      <w:r>
        <w:t>If consent is required, obtain it before using data in AI system</w:t>
      </w:r>
    </w:p>
    <w:p w14:paraId="79E6881A" w14:textId="77777777" w:rsidR="002F2694" w:rsidRDefault="002F2694" w:rsidP="002F2694">
      <w:pPr>
        <w:pStyle w:val="ListParagraph"/>
        <w:numPr>
          <w:ilvl w:val="2"/>
          <w:numId w:val="28"/>
        </w:numPr>
      </w:pPr>
      <w:r>
        <w:t>Document consent and maintain records</w:t>
      </w:r>
    </w:p>
    <w:p w14:paraId="1C005644" w14:textId="77777777" w:rsidR="002F2694" w:rsidRPr="00385CAD" w:rsidRDefault="002F2694" w:rsidP="002F2694">
      <w:pPr>
        <w:pStyle w:val="ListParagraph"/>
        <w:numPr>
          <w:ilvl w:val="1"/>
          <w:numId w:val="25"/>
        </w:numPr>
        <w:rPr>
          <w:b/>
          <w:bCs/>
        </w:rPr>
      </w:pPr>
      <w:r w:rsidRPr="00385CAD">
        <w:rPr>
          <w:b/>
          <w:bCs/>
        </w:rPr>
        <w:t>Documentation</w:t>
      </w:r>
    </w:p>
    <w:p w14:paraId="53FA3C41" w14:textId="77777777" w:rsidR="002F2694" w:rsidRDefault="002F2694" w:rsidP="002F2694">
      <w:pPr>
        <w:pStyle w:val="ListParagraph"/>
        <w:numPr>
          <w:ilvl w:val="2"/>
          <w:numId w:val="29"/>
        </w:numPr>
      </w:pPr>
      <w:r>
        <w:t>Record what personal information will be used</w:t>
      </w:r>
    </w:p>
    <w:p w14:paraId="41E66361" w14:textId="77777777" w:rsidR="002F2694" w:rsidRDefault="002F2694" w:rsidP="002F2694">
      <w:pPr>
        <w:pStyle w:val="ListParagraph"/>
        <w:numPr>
          <w:ilvl w:val="2"/>
          <w:numId w:val="29"/>
        </w:numPr>
      </w:pPr>
      <w:r>
        <w:t>Document original vs. new purpose</w:t>
      </w:r>
    </w:p>
    <w:p w14:paraId="3E7F4AF1" w14:textId="77777777" w:rsidR="002F2694" w:rsidRDefault="002F2694" w:rsidP="002F2694">
      <w:pPr>
        <w:pStyle w:val="ListParagraph"/>
        <w:numPr>
          <w:ilvl w:val="2"/>
          <w:numId w:val="29"/>
        </w:numPr>
      </w:pPr>
      <w:r>
        <w:t xml:space="preserve">Identify legal </w:t>
      </w:r>
      <w:proofErr w:type="gramStart"/>
      <w:r>
        <w:t>authority</w:t>
      </w:r>
      <w:proofErr w:type="gramEnd"/>
      <w:r>
        <w:t xml:space="preserve"> for repurposing</w:t>
      </w:r>
    </w:p>
    <w:p w14:paraId="346ADD10" w14:textId="77777777" w:rsidR="002F2694" w:rsidRDefault="002F2694" w:rsidP="002F2694">
      <w:pPr>
        <w:pStyle w:val="ListParagraph"/>
        <w:numPr>
          <w:ilvl w:val="2"/>
          <w:numId w:val="29"/>
        </w:numPr>
      </w:pPr>
      <w:r>
        <w:t>Document notice provided and consent obtained</w:t>
      </w:r>
    </w:p>
    <w:p w14:paraId="02AF7CAB" w14:textId="77777777" w:rsidR="002F2694" w:rsidRDefault="002F2694" w:rsidP="002F2694">
      <w:pPr>
        <w:pStyle w:val="ListParagraph"/>
        <w:numPr>
          <w:ilvl w:val="2"/>
          <w:numId w:val="29"/>
        </w:numPr>
      </w:pPr>
      <w:r>
        <w:t>Maintain in AI system records</w:t>
      </w:r>
    </w:p>
    <w:p w14:paraId="214E5509" w14:textId="77777777" w:rsidR="002F2694" w:rsidRPr="007B0FFC" w:rsidRDefault="002F2694" w:rsidP="002F2694">
      <w:pPr>
        <w:pStyle w:val="Heading3"/>
      </w:pPr>
      <w:r w:rsidRPr="007B0FFC">
        <w:t>Example of Proper Purpose Analysis for AI</w:t>
      </w:r>
    </w:p>
    <w:p w14:paraId="5520F47D" w14:textId="77777777" w:rsidR="002F2694" w:rsidRPr="007B0FFC" w:rsidRDefault="002F2694" w:rsidP="002F2694">
      <w:pPr>
        <w:rPr>
          <w:i/>
          <w:iCs/>
        </w:rPr>
      </w:pPr>
      <w:r w:rsidRPr="007B0FFC">
        <w:rPr>
          <w:b/>
          <w:bCs/>
          <w:i/>
          <w:iCs/>
        </w:rPr>
        <w:t>Original Purpose:</w:t>
      </w:r>
      <w:r w:rsidRPr="007B0FFC">
        <w:rPr>
          <w:i/>
          <w:iCs/>
        </w:rPr>
        <w:t xml:space="preserve"> Benefits administration</w:t>
      </w:r>
    </w:p>
    <w:p w14:paraId="6C50556B" w14:textId="77777777" w:rsidR="002F2694" w:rsidRPr="007B0FFC" w:rsidRDefault="002F2694" w:rsidP="002F2694">
      <w:pPr>
        <w:spacing w:after="0"/>
        <w:rPr>
          <w:b/>
          <w:bCs/>
        </w:rPr>
      </w:pPr>
      <w:r w:rsidRPr="007B0FFC">
        <w:rPr>
          <w:b/>
          <w:bCs/>
        </w:rPr>
        <w:t>Potential AI Applications</w:t>
      </w:r>
    </w:p>
    <w:tbl>
      <w:tblPr>
        <w:tblStyle w:val="TableGrid"/>
        <w:tblW w:w="9445" w:type="dxa"/>
        <w:tblLook w:val="04A0" w:firstRow="1" w:lastRow="0" w:firstColumn="1" w:lastColumn="0" w:noHBand="0" w:noVBand="1"/>
      </w:tblPr>
      <w:tblGrid>
        <w:gridCol w:w="4722"/>
        <w:gridCol w:w="4723"/>
      </w:tblGrid>
      <w:tr w:rsidR="002F2694" w:rsidRPr="007B0FFC" w14:paraId="2853E5D5" w14:textId="77777777" w:rsidTr="0030562F">
        <w:trPr>
          <w:cnfStyle w:val="100000000000" w:firstRow="1" w:lastRow="0" w:firstColumn="0" w:lastColumn="0" w:oddVBand="0" w:evenVBand="0" w:oddHBand="0" w:evenHBand="0" w:firstRowFirstColumn="0" w:firstRowLastColumn="0" w:lastRowFirstColumn="0" w:lastRowLastColumn="0"/>
        </w:trPr>
        <w:tc>
          <w:tcPr>
            <w:tcW w:w="4722" w:type="dxa"/>
            <w:shd w:val="clear" w:color="auto" w:fill="EAEAE9" w:themeFill="accent3" w:themeFillTint="33"/>
          </w:tcPr>
          <w:p w14:paraId="60E9ED4B" w14:textId="77777777" w:rsidR="002F2694" w:rsidRPr="000D7D91" w:rsidRDefault="002F2694" w:rsidP="0030562F">
            <w:pPr>
              <w:spacing w:before="100" w:after="200" w:line="276" w:lineRule="auto"/>
              <w:rPr>
                <w:b/>
                <w:bCs/>
              </w:rPr>
            </w:pPr>
            <w:r w:rsidRPr="000D7D91">
              <w:rPr>
                <w:b/>
                <w:bCs/>
              </w:rPr>
              <w:t>Same Purpose</w:t>
            </w:r>
          </w:p>
        </w:tc>
        <w:tc>
          <w:tcPr>
            <w:tcW w:w="4723" w:type="dxa"/>
            <w:shd w:val="clear" w:color="auto" w:fill="ADD9D0" w:themeFill="accent2" w:themeFillTint="99"/>
          </w:tcPr>
          <w:p w14:paraId="0941472B" w14:textId="77777777" w:rsidR="002F2694" w:rsidRPr="000D7D91" w:rsidRDefault="002F2694" w:rsidP="0030562F">
            <w:pPr>
              <w:spacing w:before="100" w:after="200" w:line="276" w:lineRule="auto"/>
              <w:rPr>
                <w:b/>
                <w:bCs/>
              </w:rPr>
            </w:pPr>
            <w:r w:rsidRPr="000D7D91">
              <w:rPr>
                <w:b/>
                <w:bCs/>
              </w:rPr>
              <w:t>Different Purpose</w:t>
            </w:r>
          </w:p>
        </w:tc>
      </w:tr>
      <w:tr w:rsidR="002F2694" w:rsidRPr="007B0FFC" w14:paraId="2E02208F" w14:textId="77777777" w:rsidTr="0030562F">
        <w:trPr>
          <w:cnfStyle w:val="000000100000" w:firstRow="0" w:lastRow="0" w:firstColumn="0" w:lastColumn="0" w:oddVBand="0" w:evenVBand="0" w:oddHBand="1" w:evenHBand="0" w:firstRowFirstColumn="0" w:firstRowLastColumn="0" w:lastRowFirstColumn="0" w:lastRowLastColumn="0"/>
        </w:trPr>
        <w:tc>
          <w:tcPr>
            <w:tcW w:w="4722" w:type="dxa"/>
          </w:tcPr>
          <w:p w14:paraId="35A4F279" w14:textId="77777777" w:rsidR="002F2694" w:rsidRPr="007B0FFC" w:rsidRDefault="002F2694" w:rsidP="002F2694">
            <w:pPr>
              <w:widowControl w:val="0"/>
              <w:numPr>
                <w:ilvl w:val="0"/>
                <w:numId w:val="30"/>
              </w:numPr>
              <w:spacing w:before="100" w:after="120" w:line="300" w:lineRule="exact"/>
              <w:ind w:left="360"/>
              <w:rPr>
                <w:rFonts w:eastAsia="Verdana"/>
                <w:szCs w:val="22"/>
              </w:rPr>
            </w:pPr>
            <w:r w:rsidRPr="007B0FFC">
              <w:rPr>
                <w:rFonts w:eastAsia="Verdana"/>
                <w:szCs w:val="22"/>
              </w:rPr>
              <w:t xml:space="preserve">Using AI to process benefits applications </w:t>
            </w:r>
            <w:proofErr w:type="gramStart"/>
            <w:r w:rsidRPr="007B0FFC">
              <w:rPr>
                <w:rFonts w:eastAsia="Verdana"/>
                <w:szCs w:val="22"/>
              </w:rPr>
              <w:t>faster → consistent</w:t>
            </w:r>
            <w:proofErr w:type="gramEnd"/>
            <w:r w:rsidRPr="007B0FFC">
              <w:rPr>
                <w:rFonts w:eastAsia="Verdana"/>
                <w:szCs w:val="22"/>
              </w:rPr>
              <w:t xml:space="preserve"> with original collection purpose</w:t>
            </w:r>
          </w:p>
        </w:tc>
        <w:tc>
          <w:tcPr>
            <w:tcW w:w="4723" w:type="dxa"/>
          </w:tcPr>
          <w:p w14:paraId="13F6DA7C" w14:textId="77777777" w:rsidR="002F2694" w:rsidRPr="007B0FFC" w:rsidRDefault="002F2694" w:rsidP="002F2694">
            <w:pPr>
              <w:widowControl w:val="0"/>
              <w:numPr>
                <w:ilvl w:val="0"/>
                <w:numId w:val="30"/>
              </w:numPr>
              <w:spacing w:before="100" w:after="120" w:line="300" w:lineRule="exact"/>
              <w:ind w:left="360"/>
              <w:rPr>
                <w:rFonts w:eastAsia="Verdana"/>
                <w:szCs w:val="22"/>
              </w:rPr>
            </w:pPr>
            <w:r w:rsidRPr="007B0FFC">
              <w:rPr>
                <w:rFonts w:eastAsia="Verdana"/>
                <w:szCs w:val="22"/>
              </w:rPr>
              <w:t>Using benefits data to train fraud detection AI → new purpose, requires new authority/notice/consent</w:t>
            </w:r>
          </w:p>
          <w:p w14:paraId="00288850" w14:textId="77777777" w:rsidR="002F2694" w:rsidRPr="007B0FFC" w:rsidRDefault="002F2694" w:rsidP="002F2694">
            <w:pPr>
              <w:widowControl w:val="0"/>
              <w:numPr>
                <w:ilvl w:val="0"/>
                <w:numId w:val="30"/>
              </w:numPr>
              <w:spacing w:before="100" w:after="120" w:line="300" w:lineRule="exact"/>
              <w:ind w:left="360"/>
              <w:rPr>
                <w:rFonts w:eastAsia="Verdana"/>
                <w:szCs w:val="22"/>
              </w:rPr>
            </w:pPr>
            <w:r w:rsidRPr="007B0FFC">
              <w:rPr>
                <w:rFonts w:eastAsia="Verdana"/>
                <w:szCs w:val="22"/>
              </w:rPr>
              <w:t>Using benefits data to optimize agency staffing models → new purpose, requires new authority/notice/consent</w:t>
            </w:r>
          </w:p>
        </w:tc>
      </w:tr>
    </w:tbl>
    <w:p w14:paraId="22A7C9F8" w14:textId="77777777" w:rsidR="002F2694" w:rsidRPr="007B0FFC" w:rsidRDefault="002F2694" w:rsidP="002F2694"/>
    <w:p w14:paraId="19FC03EA" w14:textId="77777777" w:rsidR="002F2694" w:rsidRPr="007B0FFC" w:rsidRDefault="002F2694" w:rsidP="002F2694">
      <w:pPr>
        <w:rPr>
          <w:i/>
          <w:iCs/>
        </w:rPr>
      </w:pPr>
      <w:r w:rsidRPr="007B0FFC">
        <w:rPr>
          <w:b/>
          <w:bCs/>
          <w:i/>
          <w:iCs/>
        </w:rPr>
        <w:t>Original Purpose:</w:t>
      </w:r>
      <w:r w:rsidRPr="007B0FFC">
        <w:rPr>
          <w:i/>
          <w:iCs/>
        </w:rPr>
        <w:t xml:space="preserve"> Business license applications</w:t>
      </w:r>
    </w:p>
    <w:p w14:paraId="742EF328" w14:textId="77777777" w:rsidR="002F2694" w:rsidRPr="007B0FFC" w:rsidRDefault="002F2694" w:rsidP="002F2694">
      <w:pPr>
        <w:spacing w:after="0"/>
        <w:rPr>
          <w:b/>
          <w:bCs/>
        </w:rPr>
      </w:pPr>
      <w:r w:rsidRPr="007B0FFC">
        <w:rPr>
          <w:b/>
          <w:bCs/>
        </w:rPr>
        <w:t>Potential AI Applications</w:t>
      </w:r>
    </w:p>
    <w:tbl>
      <w:tblPr>
        <w:tblStyle w:val="TableGrid"/>
        <w:tblW w:w="9445" w:type="dxa"/>
        <w:tblLook w:val="04A0" w:firstRow="1" w:lastRow="0" w:firstColumn="1" w:lastColumn="0" w:noHBand="0" w:noVBand="1"/>
      </w:tblPr>
      <w:tblGrid>
        <w:gridCol w:w="4722"/>
        <w:gridCol w:w="4723"/>
      </w:tblGrid>
      <w:tr w:rsidR="002F2694" w:rsidRPr="007B0FFC" w14:paraId="7FFD24D6" w14:textId="77777777" w:rsidTr="0030562F">
        <w:trPr>
          <w:cnfStyle w:val="100000000000" w:firstRow="1" w:lastRow="0" w:firstColumn="0" w:lastColumn="0" w:oddVBand="0" w:evenVBand="0" w:oddHBand="0" w:evenHBand="0" w:firstRowFirstColumn="0" w:firstRowLastColumn="0" w:lastRowFirstColumn="0" w:lastRowLastColumn="0"/>
        </w:trPr>
        <w:tc>
          <w:tcPr>
            <w:tcW w:w="4722" w:type="dxa"/>
            <w:shd w:val="clear" w:color="auto" w:fill="EAEAE9" w:themeFill="accent3" w:themeFillTint="33"/>
          </w:tcPr>
          <w:p w14:paraId="48334CDA" w14:textId="77777777" w:rsidR="002F2694" w:rsidRPr="007B0FFC" w:rsidRDefault="002F2694" w:rsidP="0030562F">
            <w:pPr>
              <w:spacing w:before="100" w:after="200" w:line="276" w:lineRule="auto"/>
              <w:rPr>
                <w:b/>
                <w:bCs/>
                <w:color w:val="FFFFFF" w:themeColor="background1"/>
              </w:rPr>
            </w:pPr>
            <w:r w:rsidRPr="000D7D91">
              <w:rPr>
                <w:b/>
                <w:bCs/>
              </w:rPr>
              <w:t>Same Purpose</w:t>
            </w:r>
          </w:p>
        </w:tc>
        <w:tc>
          <w:tcPr>
            <w:tcW w:w="4723" w:type="dxa"/>
            <w:shd w:val="clear" w:color="auto" w:fill="ADD9D0" w:themeFill="accent2" w:themeFillTint="99"/>
          </w:tcPr>
          <w:p w14:paraId="731822D4" w14:textId="77777777" w:rsidR="002F2694" w:rsidRPr="000D7D91" w:rsidRDefault="002F2694" w:rsidP="0030562F">
            <w:pPr>
              <w:spacing w:before="100" w:after="200" w:line="276" w:lineRule="auto"/>
              <w:rPr>
                <w:b/>
                <w:bCs/>
              </w:rPr>
            </w:pPr>
            <w:r w:rsidRPr="000D7D91">
              <w:rPr>
                <w:b/>
                <w:bCs/>
              </w:rPr>
              <w:t>Different Purpose</w:t>
            </w:r>
          </w:p>
        </w:tc>
      </w:tr>
      <w:tr w:rsidR="002F2694" w:rsidRPr="007B0FFC" w14:paraId="1E887664" w14:textId="77777777" w:rsidTr="0030562F">
        <w:trPr>
          <w:cnfStyle w:val="000000100000" w:firstRow="0" w:lastRow="0" w:firstColumn="0" w:lastColumn="0" w:oddVBand="0" w:evenVBand="0" w:oddHBand="1" w:evenHBand="0" w:firstRowFirstColumn="0" w:firstRowLastColumn="0" w:lastRowFirstColumn="0" w:lastRowLastColumn="0"/>
        </w:trPr>
        <w:tc>
          <w:tcPr>
            <w:tcW w:w="4722" w:type="dxa"/>
          </w:tcPr>
          <w:p w14:paraId="2D7B0F78" w14:textId="77777777" w:rsidR="002F2694" w:rsidRPr="007B0FFC" w:rsidRDefault="002F2694" w:rsidP="002F2694">
            <w:pPr>
              <w:widowControl w:val="0"/>
              <w:numPr>
                <w:ilvl w:val="0"/>
                <w:numId w:val="30"/>
              </w:numPr>
              <w:spacing w:before="100" w:after="120" w:line="300" w:lineRule="exact"/>
              <w:ind w:left="360"/>
              <w:rPr>
                <w:rFonts w:eastAsia="Verdana"/>
                <w:szCs w:val="22"/>
              </w:rPr>
            </w:pPr>
            <w:r w:rsidRPr="007B0FFC">
              <w:rPr>
                <w:rFonts w:eastAsia="Verdana"/>
                <w:szCs w:val="22"/>
              </w:rPr>
              <w:t xml:space="preserve">AI chatbot answering questions about license applications </w:t>
            </w:r>
            <w:r w:rsidRPr="007B0FFC">
              <w:rPr>
                <w:rFonts w:ascii="Aptos" w:eastAsia="Verdana" w:hAnsi="Aptos" w:cs="Aptos"/>
                <w:szCs w:val="22"/>
              </w:rPr>
              <w:t>→</w:t>
            </w:r>
            <w:r w:rsidRPr="007B0FFC">
              <w:rPr>
                <w:rFonts w:eastAsia="Verdana"/>
                <w:szCs w:val="22"/>
              </w:rPr>
              <w:t xml:space="preserve"> consistent with original purpose</w:t>
            </w:r>
          </w:p>
        </w:tc>
        <w:tc>
          <w:tcPr>
            <w:tcW w:w="4723" w:type="dxa"/>
          </w:tcPr>
          <w:p w14:paraId="650D2D75" w14:textId="77777777" w:rsidR="002F2694" w:rsidRPr="007B0FFC" w:rsidRDefault="002F2694" w:rsidP="002F2694">
            <w:pPr>
              <w:widowControl w:val="0"/>
              <w:numPr>
                <w:ilvl w:val="0"/>
                <w:numId w:val="30"/>
              </w:numPr>
              <w:spacing w:before="100" w:after="120" w:line="300" w:lineRule="exact"/>
              <w:ind w:left="360"/>
              <w:rPr>
                <w:rFonts w:eastAsia="Verdana"/>
                <w:szCs w:val="22"/>
              </w:rPr>
            </w:pPr>
            <w:r w:rsidRPr="007B0FFC">
              <w:rPr>
                <w:rFonts w:eastAsia="Verdana"/>
                <w:szCs w:val="22"/>
              </w:rPr>
              <w:t xml:space="preserve">Using license data to predict business tax compliance </w:t>
            </w:r>
            <w:r w:rsidRPr="007B0FFC">
              <w:rPr>
                <w:rFonts w:ascii="Aptos" w:eastAsia="Verdana" w:hAnsi="Aptos" w:cs="Aptos"/>
                <w:szCs w:val="22"/>
              </w:rPr>
              <w:t>→</w:t>
            </w:r>
            <w:r w:rsidRPr="007B0FFC">
              <w:rPr>
                <w:rFonts w:eastAsia="Verdana"/>
                <w:szCs w:val="22"/>
              </w:rPr>
              <w:t xml:space="preserve"> new purpose, requires new authority/notice/consent</w:t>
            </w:r>
          </w:p>
          <w:p w14:paraId="4595CA8E" w14:textId="77777777" w:rsidR="002F2694" w:rsidRPr="007B0FFC" w:rsidRDefault="002F2694" w:rsidP="002F2694">
            <w:pPr>
              <w:widowControl w:val="0"/>
              <w:numPr>
                <w:ilvl w:val="0"/>
                <w:numId w:val="30"/>
              </w:numPr>
              <w:spacing w:before="100" w:after="120" w:line="300" w:lineRule="exact"/>
              <w:ind w:left="360"/>
              <w:rPr>
                <w:rFonts w:eastAsia="Verdana"/>
                <w:szCs w:val="22"/>
              </w:rPr>
            </w:pPr>
            <w:r w:rsidRPr="007B0FFC">
              <w:rPr>
                <w:rFonts w:eastAsia="Verdana"/>
                <w:szCs w:val="22"/>
              </w:rPr>
              <w:t xml:space="preserve">Using license data to train economic </w:t>
            </w:r>
            <w:r w:rsidRPr="007B0FFC">
              <w:rPr>
                <w:rFonts w:eastAsia="Verdana"/>
                <w:szCs w:val="22"/>
              </w:rPr>
              <w:lastRenderedPageBreak/>
              <w:t xml:space="preserve">development models </w:t>
            </w:r>
            <w:r w:rsidRPr="007B0FFC">
              <w:rPr>
                <w:rFonts w:ascii="Aptos" w:eastAsia="Verdana" w:hAnsi="Aptos" w:cs="Aptos"/>
                <w:szCs w:val="22"/>
              </w:rPr>
              <w:t>→</w:t>
            </w:r>
            <w:r w:rsidRPr="007B0FFC">
              <w:rPr>
                <w:rFonts w:eastAsia="Verdana"/>
                <w:szCs w:val="22"/>
              </w:rPr>
              <w:t xml:space="preserve"> new purpose, requires new authority/notice/consent</w:t>
            </w:r>
          </w:p>
        </w:tc>
      </w:tr>
    </w:tbl>
    <w:p w14:paraId="743294C5" w14:textId="77777777" w:rsidR="002F2694" w:rsidRDefault="002F2694" w:rsidP="002F2694"/>
    <w:p w14:paraId="53823D7B" w14:textId="77777777" w:rsidR="002F2694" w:rsidRDefault="002F2694" w:rsidP="002F2694">
      <w:pPr>
        <w:pStyle w:val="Heading3"/>
      </w:pPr>
      <w:r>
        <w:t>4. Retention Schedules Apply to AI Models</w:t>
      </w:r>
    </w:p>
    <w:p w14:paraId="467D7186" w14:textId="77777777" w:rsidR="002F2694" w:rsidRDefault="002F2694" w:rsidP="002F2694">
      <w:r w:rsidRPr="007D77E9">
        <w:rPr>
          <w:b/>
          <w:bCs/>
        </w:rPr>
        <w:t>Legal Principle:</w:t>
      </w:r>
      <w:r>
        <w:t xml:space="preserve"> When agencies develop in-house AI models trained on personal information to perform work for which that information was collected, retention schedules apply to the models themselves.  </w:t>
      </w:r>
    </w:p>
    <w:p w14:paraId="5578F35A" w14:textId="77777777" w:rsidR="002F2694" w:rsidRPr="007D77E9" w:rsidRDefault="002F2694" w:rsidP="002F2694">
      <w:pPr>
        <w:rPr>
          <w:b/>
          <w:bCs/>
        </w:rPr>
      </w:pPr>
      <w:r w:rsidRPr="007D77E9">
        <w:rPr>
          <w:b/>
          <w:bCs/>
        </w:rPr>
        <w:t>Practical Meaning</w:t>
      </w:r>
    </w:p>
    <w:p w14:paraId="1C1C9D16" w14:textId="77777777" w:rsidR="002F2694" w:rsidRDefault="002F2694" w:rsidP="002F2694">
      <w:pPr>
        <w:pStyle w:val="ListParagraph"/>
        <w:numPr>
          <w:ilvl w:val="0"/>
          <w:numId w:val="30"/>
        </w:numPr>
      </w:pPr>
      <w:r>
        <w:t>The AI model itself (including weights, parameters, and embedded data patterns) must comply with applicable retention schedules</w:t>
      </w:r>
    </w:p>
    <w:p w14:paraId="10C32338" w14:textId="77777777" w:rsidR="002F2694" w:rsidRDefault="002F2694" w:rsidP="002F2694">
      <w:pPr>
        <w:pStyle w:val="ListParagraph"/>
        <w:numPr>
          <w:ilvl w:val="0"/>
          <w:numId w:val="30"/>
        </w:numPr>
      </w:pPr>
      <w:r>
        <w:t>If personal information must be deleted after X years, assess whether the AI model trained on that data also retains that information</w:t>
      </w:r>
    </w:p>
    <w:p w14:paraId="292AE719" w14:textId="77777777" w:rsidR="002F2694" w:rsidRDefault="002F2694" w:rsidP="002F2694">
      <w:pPr>
        <w:pStyle w:val="ListParagraph"/>
        <w:numPr>
          <w:ilvl w:val="0"/>
          <w:numId w:val="30"/>
        </w:numPr>
      </w:pPr>
      <w:r>
        <w:t>For AI models that memorize training data, deletion of the source data may require retraining or retiring the model</w:t>
      </w:r>
    </w:p>
    <w:p w14:paraId="6DF0760F" w14:textId="77777777" w:rsidR="002F2694" w:rsidRDefault="002F2694" w:rsidP="002F2694">
      <w:pPr>
        <w:pStyle w:val="ListParagraph"/>
        <w:numPr>
          <w:ilvl w:val="0"/>
          <w:numId w:val="30"/>
        </w:numPr>
      </w:pPr>
      <w:r>
        <w:t>Agencies must document how AI models comply with retention requirements</w:t>
      </w:r>
    </w:p>
    <w:p w14:paraId="3CEDFE55" w14:textId="77777777" w:rsidR="002F2694" w:rsidRPr="00AF40AD" w:rsidRDefault="002F2694" w:rsidP="002F2694">
      <w:pPr>
        <w:pStyle w:val="Heading4"/>
        <w:rPr>
          <w:b/>
          <w:bCs/>
        </w:rPr>
      </w:pPr>
      <w:r w:rsidRPr="00AF40AD">
        <w:rPr>
          <w:b/>
          <w:bCs/>
        </w:rPr>
        <w:t>Agency Responsibilities</w:t>
      </w:r>
    </w:p>
    <w:p w14:paraId="1142D77A" w14:textId="77777777" w:rsidR="002F2694" w:rsidRPr="00AF40AD" w:rsidRDefault="002F2694" w:rsidP="002F2694">
      <w:pPr>
        <w:rPr>
          <w:b/>
          <w:bCs/>
        </w:rPr>
      </w:pPr>
      <w:r w:rsidRPr="00AF40AD">
        <w:rPr>
          <w:b/>
          <w:bCs/>
        </w:rPr>
        <w:t>Before Training AI Models on Personal Information</w:t>
      </w:r>
    </w:p>
    <w:p w14:paraId="4C511991" w14:textId="77777777" w:rsidR="002F2694" w:rsidRDefault="002F2694" w:rsidP="002F2694">
      <w:pPr>
        <w:pStyle w:val="ListParagraph"/>
        <w:numPr>
          <w:ilvl w:val="0"/>
          <w:numId w:val="32"/>
        </w:numPr>
      </w:pPr>
      <w:r>
        <w:t>Document what personal information will be used for training</w:t>
      </w:r>
    </w:p>
    <w:p w14:paraId="5E4EBCFF" w14:textId="77777777" w:rsidR="002F2694" w:rsidRDefault="002F2694" w:rsidP="002F2694">
      <w:pPr>
        <w:pStyle w:val="ListParagraph"/>
        <w:numPr>
          <w:ilvl w:val="0"/>
          <w:numId w:val="32"/>
        </w:numPr>
      </w:pPr>
      <w:r>
        <w:t>Identify applicable retention schedules for that information</w:t>
      </w:r>
    </w:p>
    <w:p w14:paraId="0DB55D01" w14:textId="77777777" w:rsidR="002F2694" w:rsidRDefault="002F2694" w:rsidP="002F2694">
      <w:pPr>
        <w:pStyle w:val="ListParagraph"/>
        <w:numPr>
          <w:ilvl w:val="0"/>
          <w:numId w:val="32"/>
        </w:numPr>
      </w:pPr>
      <w:r>
        <w:t>Assess model's potential to memorize or retain individual records</w:t>
      </w:r>
    </w:p>
    <w:p w14:paraId="01BDA517" w14:textId="77777777" w:rsidR="002F2694" w:rsidRDefault="002F2694" w:rsidP="002F2694">
      <w:pPr>
        <w:pStyle w:val="ListParagraph"/>
        <w:numPr>
          <w:ilvl w:val="0"/>
          <w:numId w:val="32"/>
        </w:numPr>
      </w:pPr>
      <w:r>
        <w:t>Plan for model retraining or retirement when retention periods expire</w:t>
      </w:r>
    </w:p>
    <w:p w14:paraId="63731FE5" w14:textId="77777777" w:rsidR="002F2694" w:rsidRPr="00AF40AD" w:rsidRDefault="002F2694" w:rsidP="002F2694">
      <w:pPr>
        <w:rPr>
          <w:b/>
          <w:bCs/>
        </w:rPr>
      </w:pPr>
      <w:r w:rsidRPr="00AF40AD">
        <w:rPr>
          <w:b/>
          <w:bCs/>
        </w:rPr>
        <w:t>During Model Operation</w:t>
      </w:r>
    </w:p>
    <w:p w14:paraId="529B8B67" w14:textId="77777777" w:rsidR="002F2694" w:rsidRDefault="002F2694" w:rsidP="002F2694">
      <w:pPr>
        <w:pStyle w:val="ListParagraph"/>
        <w:numPr>
          <w:ilvl w:val="0"/>
          <w:numId w:val="33"/>
        </w:numPr>
      </w:pPr>
      <w:r>
        <w:t>Track when source data reaches end of retention period</w:t>
      </w:r>
    </w:p>
    <w:p w14:paraId="343FDEE3" w14:textId="77777777" w:rsidR="002F2694" w:rsidRDefault="002F2694" w:rsidP="002F2694">
      <w:pPr>
        <w:pStyle w:val="ListParagraph"/>
        <w:numPr>
          <w:ilvl w:val="0"/>
          <w:numId w:val="33"/>
        </w:numPr>
      </w:pPr>
      <w:r>
        <w:t xml:space="preserve">Test whether </w:t>
      </w:r>
      <w:proofErr w:type="gramStart"/>
      <w:r>
        <w:t>model</w:t>
      </w:r>
      <w:proofErr w:type="gramEnd"/>
      <w:r>
        <w:t xml:space="preserve"> can reproduce or identify specific training examples</w:t>
      </w:r>
    </w:p>
    <w:p w14:paraId="11567698" w14:textId="77777777" w:rsidR="002F2694" w:rsidRDefault="002F2694" w:rsidP="002F2694">
      <w:pPr>
        <w:pStyle w:val="ListParagraph"/>
        <w:numPr>
          <w:ilvl w:val="0"/>
          <w:numId w:val="33"/>
        </w:numPr>
      </w:pPr>
      <w:r>
        <w:t>Document model's compliance with retention requirements</w:t>
      </w:r>
    </w:p>
    <w:p w14:paraId="3D106DAD" w14:textId="77777777" w:rsidR="002F2694" w:rsidRPr="00AF40AD" w:rsidRDefault="002F2694" w:rsidP="002F2694">
      <w:pPr>
        <w:rPr>
          <w:b/>
          <w:bCs/>
        </w:rPr>
      </w:pPr>
      <w:r w:rsidRPr="00AF40AD">
        <w:rPr>
          <w:b/>
          <w:bCs/>
        </w:rPr>
        <w:lastRenderedPageBreak/>
        <w:t>When Retention Period Expires</w:t>
      </w:r>
    </w:p>
    <w:p w14:paraId="3A4C5220" w14:textId="77777777" w:rsidR="002F2694" w:rsidRDefault="002F2694" w:rsidP="002F2694">
      <w:pPr>
        <w:pStyle w:val="ListParagraph"/>
        <w:numPr>
          <w:ilvl w:val="0"/>
          <w:numId w:val="34"/>
        </w:numPr>
      </w:pPr>
      <w:r>
        <w:t>Option 1: Retrain model without expired personal information</w:t>
      </w:r>
    </w:p>
    <w:p w14:paraId="1CF76C05" w14:textId="77777777" w:rsidR="002F2694" w:rsidRDefault="002F2694" w:rsidP="002F2694">
      <w:pPr>
        <w:pStyle w:val="ListParagraph"/>
        <w:numPr>
          <w:ilvl w:val="0"/>
          <w:numId w:val="34"/>
        </w:numPr>
      </w:pPr>
      <w:r>
        <w:t>Option 2: Retire model and develop new model with current data only</w:t>
      </w:r>
    </w:p>
    <w:p w14:paraId="5AF7BFDA" w14:textId="77777777" w:rsidR="002F2694" w:rsidRDefault="002F2694" w:rsidP="002F2694">
      <w:pPr>
        <w:pStyle w:val="ListParagraph"/>
        <w:numPr>
          <w:ilvl w:val="0"/>
          <w:numId w:val="34"/>
        </w:numPr>
      </w:pPr>
      <w:r>
        <w:t>Option 3: Conduct technical assessment confirming model does not retain expired data in retrievable form (requires expert analysis)</w:t>
      </w:r>
    </w:p>
    <w:p w14:paraId="6D87E556" w14:textId="77777777" w:rsidR="002F2694" w:rsidRDefault="002F2694" w:rsidP="002F2694">
      <w:pPr>
        <w:pStyle w:val="ListParagraph"/>
        <w:numPr>
          <w:ilvl w:val="0"/>
          <w:numId w:val="34"/>
        </w:numPr>
      </w:pPr>
      <w:r>
        <w:t>Document chosen approach and justification</w:t>
      </w:r>
    </w:p>
    <w:p w14:paraId="1175F79A" w14:textId="77777777" w:rsidR="002F2694" w:rsidRPr="00EC62AA" w:rsidRDefault="002F2694" w:rsidP="002F2694">
      <w:pPr>
        <w:pStyle w:val="Heading4"/>
      </w:pPr>
      <w:r w:rsidRPr="00EC62AA">
        <w:t>Special Considerations</w:t>
      </w:r>
    </w:p>
    <w:p w14:paraId="75A87D06" w14:textId="77777777" w:rsidR="002F2694" w:rsidRDefault="002F2694" w:rsidP="002F2694">
      <w:pPr>
        <w:pStyle w:val="ListParagraph"/>
        <w:numPr>
          <w:ilvl w:val="0"/>
          <w:numId w:val="35"/>
        </w:numPr>
      </w:pPr>
      <w:r>
        <w:t>Large language models and generative AI are more likely to memorize training data</w:t>
      </w:r>
    </w:p>
    <w:p w14:paraId="5BD14437" w14:textId="77777777" w:rsidR="002F2694" w:rsidRDefault="002F2694" w:rsidP="002F2694">
      <w:pPr>
        <w:pStyle w:val="ListParagraph"/>
        <w:numPr>
          <w:ilvl w:val="0"/>
          <w:numId w:val="35"/>
        </w:numPr>
      </w:pPr>
      <w:r>
        <w:t>Smaller, specialized models trained on limited datasets pose higher memorization risk</w:t>
      </w:r>
    </w:p>
    <w:p w14:paraId="0632E7B2" w14:textId="77777777" w:rsidR="002F2694" w:rsidRDefault="002F2694" w:rsidP="002F2694">
      <w:pPr>
        <w:pStyle w:val="ListParagraph"/>
        <w:numPr>
          <w:ilvl w:val="0"/>
          <w:numId w:val="35"/>
        </w:numPr>
      </w:pPr>
      <w:r>
        <w:t>Aggregated statistical models (e.g., regression, random forests on large populations) generally pose lower retention concerns</w:t>
      </w:r>
    </w:p>
    <w:p w14:paraId="69EF58D9" w14:textId="77777777" w:rsidR="002F2694" w:rsidRDefault="002F2694" w:rsidP="002F2694">
      <w:pPr>
        <w:pStyle w:val="ListParagraph"/>
        <w:numPr>
          <w:ilvl w:val="0"/>
          <w:numId w:val="35"/>
        </w:numPr>
      </w:pPr>
      <w:r>
        <w:t>When in doubt, consult with AI experts and legal counsel or OAG</w:t>
      </w:r>
    </w:p>
    <w:p w14:paraId="1E307E16" w14:textId="77777777" w:rsidR="002F2694" w:rsidRPr="00F306C2" w:rsidRDefault="002F2694" w:rsidP="002F2694"/>
    <w:p w14:paraId="52054727" w14:textId="77777777" w:rsidR="00DD429B" w:rsidRPr="00DD429B" w:rsidRDefault="00DD429B" w:rsidP="00DD429B"/>
    <w:sectPr w:rsidR="00DD429B" w:rsidRPr="00DD429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32AF" w14:textId="77777777" w:rsidR="002F2694" w:rsidRDefault="002F2694" w:rsidP="00F85F8A">
      <w:pPr>
        <w:spacing w:before="0" w:after="0" w:line="240" w:lineRule="auto"/>
      </w:pPr>
      <w:r>
        <w:separator/>
      </w:r>
    </w:p>
  </w:endnote>
  <w:endnote w:type="continuationSeparator" w:id="0">
    <w:p w14:paraId="5C1A05A4" w14:textId="77777777" w:rsidR="002F2694" w:rsidRDefault="002F2694"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977E"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20C47D97" w14:textId="77777777" w:rsidR="00F85F8A" w:rsidRDefault="00F85F8A" w:rsidP="00F85F8A">
    <w:pPr>
      <w:pStyle w:val="Footer"/>
    </w:pPr>
  </w:p>
  <w:p w14:paraId="2D12C1E7"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43A58FA9"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DC67" w14:textId="77777777" w:rsidR="002F2694" w:rsidRDefault="002F2694" w:rsidP="00F85F8A">
      <w:pPr>
        <w:spacing w:before="0" w:after="0" w:line="240" w:lineRule="auto"/>
      </w:pPr>
      <w:r>
        <w:separator/>
      </w:r>
    </w:p>
  </w:footnote>
  <w:footnote w:type="continuationSeparator" w:id="0">
    <w:p w14:paraId="5678DE06" w14:textId="77777777" w:rsidR="002F2694" w:rsidRDefault="002F2694"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4393" w14:textId="77777777" w:rsidR="000A6F0B" w:rsidRDefault="000A6F0B">
    <w:pPr>
      <w:pStyle w:val="Header"/>
    </w:pPr>
    <w:r>
      <w:rPr>
        <w:noProof/>
      </w:rPr>
      <w:drawing>
        <wp:inline distT="0" distB="0" distL="0" distR="0" wp14:anchorId="5841659A" wp14:editId="5FE399FD">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3EDB358B"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E97"/>
    <w:multiLevelType w:val="hybridMultilevel"/>
    <w:tmpl w:val="65085564"/>
    <w:lvl w:ilvl="0" w:tplc="04090001">
      <w:start w:val="1"/>
      <w:numFmt w:val="bullet"/>
      <w:lvlText w:val=""/>
      <w:lvlJc w:val="left"/>
      <w:pPr>
        <w:ind w:left="1080" w:hanging="360"/>
      </w:pPr>
      <w:rPr>
        <w:rFonts w:ascii="Symbol" w:hAnsi="Symbol" w:hint="default"/>
      </w:rPr>
    </w:lvl>
    <w:lvl w:ilvl="1" w:tplc="D844506E">
      <w:start w:val="6"/>
      <w:numFmt w:val="bullet"/>
      <w:lvlText w:val="•"/>
      <w:lvlJc w:val="left"/>
      <w:pPr>
        <w:ind w:left="2160" w:hanging="720"/>
      </w:pPr>
      <w:rPr>
        <w:rFonts w:ascii="Aptos" w:eastAsiaTheme="minorEastAsia" w:hAnsi="Apto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17D05"/>
    <w:multiLevelType w:val="hybridMultilevel"/>
    <w:tmpl w:val="DFF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864A8"/>
    <w:multiLevelType w:val="hybridMultilevel"/>
    <w:tmpl w:val="39E8DA9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F0D79"/>
    <w:multiLevelType w:val="hybridMultilevel"/>
    <w:tmpl w:val="3044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F11D1F"/>
    <w:multiLevelType w:val="hybridMultilevel"/>
    <w:tmpl w:val="EB68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238FD"/>
    <w:multiLevelType w:val="hybridMultilevel"/>
    <w:tmpl w:val="0ADA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760136"/>
    <w:multiLevelType w:val="hybridMultilevel"/>
    <w:tmpl w:val="2F3C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2000C"/>
    <w:multiLevelType w:val="hybridMultilevel"/>
    <w:tmpl w:val="4A7A9CC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451105"/>
    <w:multiLevelType w:val="hybridMultilevel"/>
    <w:tmpl w:val="5654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751C6"/>
    <w:multiLevelType w:val="hybridMultilevel"/>
    <w:tmpl w:val="BD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337DF"/>
    <w:multiLevelType w:val="multilevel"/>
    <w:tmpl w:val="75802C3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6C2E0C"/>
    <w:multiLevelType w:val="hybridMultilevel"/>
    <w:tmpl w:val="2F94B154"/>
    <w:lvl w:ilvl="0" w:tplc="04090001">
      <w:start w:val="1"/>
      <w:numFmt w:val="bullet"/>
      <w:lvlText w:val=""/>
      <w:lvlJc w:val="left"/>
      <w:pPr>
        <w:ind w:left="720" w:hanging="360"/>
      </w:pPr>
      <w:rPr>
        <w:rFonts w:ascii="Symbol" w:hAnsi="Symbol" w:hint="default"/>
      </w:rPr>
    </w:lvl>
    <w:lvl w:ilvl="1" w:tplc="5F5812D4">
      <w:start w:val="6"/>
      <w:numFmt w:val="bullet"/>
      <w:lvlText w:val="-"/>
      <w:lvlJc w:val="left"/>
      <w:pPr>
        <w:ind w:left="1440" w:hanging="360"/>
      </w:pPr>
      <w:rPr>
        <w:rFonts w:ascii="Aptos" w:eastAsiaTheme="minorEastAsia"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2D5584"/>
    <w:multiLevelType w:val="hybridMultilevel"/>
    <w:tmpl w:val="07CC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619B2"/>
    <w:multiLevelType w:val="hybridMultilevel"/>
    <w:tmpl w:val="08502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848E7"/>
    <w:multiLevelType w:val="hybridMultilevel"/>
    <w:tmpl w:val="1538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06F8F"/>
    <w:multiLevelType w:val="hybridMultilevel"/>
    <w:tmpl w:val="BCE41A4E"/>
    <w:lvl w:ilvl="0" w:tplc="ABCEA17C">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5A1413"/>
    <w:multiLevelType w:val="hybridMultilevel"/>
    <w:tmpl w:val="868E68B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E7017D"/>
    <w:multiLevelType w:val="hybridMultilevel"/>
    <w:tmpl w:val="1C4E4E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321275"/>
    <w:multiLevelType w:val="hybridMultilevel"/>
    <w:tmpl w:val="6F3A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71613"/>
    <w:multiLevelType w:val="hybridMultilevel"/>
    <w:tmpl w:val="03E6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07743">
    <w:abstractNumId w:val="15"/>
  </w:num>
  <w:num w:numId="2" w16cid:durableId="951714158">
    <w:abstractNumId w:val="6"/>
  </w:num>
  <w:num w:numId="3" w16cid:durableId="1075589353">
    <w:abstractNumId w:val="9"/>
  </w:num>
  <w:num w:numId="4" w16cid:durableId="1161658138">
    <w:abstractNumId w:val="10"/>
  </w:num>
  <w:num w:numId="5" w16cid:durableId="777257097">
    <w:abstractNumId w:val="24"/>
  </w:num>
  <w:num w:numId="6" w16cid:durableId="145437714">
    <w:abstractNumId w:val="17"/>
  </w:num>
  <w:num w:numId="7" w16cid:durableId="85999835">
    <w:abstractNumId w:val="25"/>
  </w:num>
  <w:num w:numId="8" w16cid:durableId="1002320856">
    <w:abstractNumId w:val="38"/>
  </w:num>
  <w:num w:numId="9" w16cid:durableId="546181933">
    <w:abstractNumId w:val="11"/>
  </w:num>
  <w:num w:numId="10" w16cid:durableId="7561425">
    <w:abstractNumId w:val="19"/>
  </w:num>
  <w:num w:numId="11" w16cid:durableId="592326819">
    <w:abstractNumId w:val="8"/>
  </w:num>
  <w:num w:numId="12" w16cid:durableId="1137802405">
    <w:abstractNumId w:val="20"/>
  </w:num>
  <w:num w:numId="13" w16cid:durableId="989405079">
    <w:abstractNumId w:val="4"/>
  </w:num>
  <w:num w:numId="14" w16cid:durableId="1530682665">
    <w:abstractNumId w:val="1"/>
  </w:num>
  <w:num w:numId="15" w16cid:durableId="710764430">
    <w:abstractNumId w:val="40"/>
  </w:num>
  <w:num w:numId="16" w16cid:durableId="573703585">
    <w:abstractNumId w:val="13"/>
  </w:num>
  <w:num w:numId="17" w16cid:durableId="382876078">
    <w:abstractNumId w:val="39"/>
  </w:num>
  <w:num w:numId="18" w16cid:durableId="1604872461">
    <w:abstractNumId w:val="30"/>
  </w:num>
  <w:num w:numId="19" w16cid:durableId="140850565">
    <w:abstractNumId w:val="31"/>
  </w:num>
  <w:num w:numId="20" w16cid:durableId="1290933118">
    <w:abstractNumId w:val="7"/>
  </w:num>
  <w:num w:numId="21" w16cid:durableId="36440155">
    <w:abstractNumId w:val="23"/>
  </w:num>
  <w:num w:numId="22" w16cid:durableId="639968815">
    <w:abstractNumId w:val="5"/>
  </w:num>
  <w:num w:numId="23" w16cid:durableId="1271477253">
    <w:abstractNumId w:val="28"/>
  </w:num>
  <w:num w:numId="24" w16cid:durableId="1388801911">
    <w:abstractNumId w:val="35"/>
  </w:num>
  <w:num w:numId="25" w16cid:durableId="207225153">
    <w:abstractNumId w:val="27"/>
  </w:num>
  <w:num w:numId="26" w16cid:durableId="1556889748">
    <w:abstractNumId w:val="3"/>
  </w:num>
  <w:num w:numId="27" w16cid:durableId="1158228575">
    <w:abstractNumId w:val="36"/>
  </w:num>
  <w:num w:numId="28" w16cid:durableId="891891438">
    <w:abstractNumId w:val="37"/>
  </w:num>
  <w:num w:numId="29" w16cid:durableId="1840920923">
    <w:abstractNumId w:val="21"/>
  </w:num>
  <w:num w:numId="30" w16cid:durableId="358824966">
    <w:abstractNumId w:val="0"/>
  </w:num>
  <w:num w:numId="31" w16cid:durableId="2024891344">
    <w:abstractNumId w:val="42"/>
  </w:num>
  <w:num w:numId="32" w16cid:durableId="1226837543">
    <w:abstractNumId w:val="16"/>
  </w:num>
  <w:num w:numId="33" w16cid:durableId="1265500258">
    <w:abstractNumId w:val="34"/>
  </w:num>
  <w:num w:numId="34" w16cid:durableId="383405336">
    <w:abstractNumId w:val="29"/>
  </w:num>
  <w:num w:numId="35" w16cid:durableId="815948693">
    <w:abstractNumId w:val="14"/>
  </w:num>
  <w:num w:numId="36" w16cid:durableId="1327250491">
    <w:abstractNumId w:val="33"/>
  </w:num>
  <w:num w:numId="37" w16cid:durableId="1557203766">
    <w:abstractNumId w:val="22"/>
  </w:num>
  <w:num w:numId="38" w16cid:durableId="1526291556">
    <w:abstractNumId w:val="12"/>
  </w:num>
  <w:num w:numId="39" w16cid:durableId="187063266">
    <w:abstractNumId w:val="18"/>
  </w:num>
  <w:num w:numId="40" w16cid:durableId="72046236">
    <w:abstractNumId w:val="26"/>
  </w:num>
  <w:num w:numId="41" w16cid:durableId="2041394085">
    <w:abstractNumId w:val="2"/>
  </w:num>
  <w:num w:numId="42" w16cid:durableId="1138841287">
    <w:abstractNumId w:val="32"/>
  </w:num>
  <w:num w:numId="43" w16cid:durableId="525292322">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94"/>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2F2694"/>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BD4B47"/>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24AF"/>
  <w15:chartTrackingRefBased/>
  <w15:docId w15:val="{891B4041-238A-4A7B-9155-BA747884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qFormat/>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paragraph" w:customStyle="1" w:styleId="Bulletedlist">
    <w:name w:val="Bulleted list"/>
    <w:basedOn w:val="BodyText"/>
    <w:link w:val="BulletedlistChar"/>
    <w:uiPriority w:val="1"/>
    <w:rsid w:val="002F2694"/>
    <w:pPr>
      <w:widowControl w:val="0"/>
      <w:numPr>
        <w:numId w:val="24"/>
      </w:numPr>
      <w:spacing w:line="300" w:lineRule="exact"/>
    </w:pPr>
    <w:rPr>
      <w:rFonts w:eastAsia="Verdana"/>
      <w:szCs w:val="22"/>
    </w:rPr>
  </w:style>
  <w:style w:type="character" w:customStyle="1" w:styleId="BulletedlistChar">
    <w:name w:val="Bulleted list Char"/>
    <w:basedOn w:val="BodyTextChar"/>
    <w:link w:val="Bulletedlist"/>
    <w:uiPriority w:val="1"/>
    <w:rsid w:val="002F2694"/>
    <w:rPr>
      <w:rFonts w:ascii="Calibri" w:eastAsia="Verdana" w:hAnsi="Calibri"/>
      <w:sz w:val="24"/>
      <w:szCs w:val="22"/>
    </w:rPr>
  </w:style>
  <w:style w:type="character" w:styleId="Hyperlink">
    <w:name w:val="Hyperlink"/>
    <w:basedOn w:val="DefaultParagraphFont"/>
    <w:uiPriority w:val="99"/>
    <w:unhideWhenUsed/>
    <w:rsid w:val="002F2694"/>
    <w:rPr>
      <w:color w:val="0000FF"/>
      <w:u w:val="single"/>
    </w:rPr>
  </w:style>
  <w:style w:type="paragraph" w:styleId="BodyText">
    <w:name w:val="Body Text"/>
    <w:basedOn w:val="Normal"/>
    <w:link w:val="BodyTextChar"/>
    <w:uiPriority w:val="99"/>
    <w:semiHidden/>
    <w:unhideWhenUsed/>
    <w:rsid w:val="002F2694"/>
    <w:pPr>
      <w:spacing w:after="120"/>
    </w:pPr>
  </w:style>
  <w:style w:type="character" w:customStyle="1" w:styleId="BodyTextChar">
    <w:name w:val="Body Text Char"/>
    <w:basedOn w:val="DefaultParagraphFont"/>
    <w:link w:val="BodyText"/>
    <w:uiPriority w:val="99"/>
    <w:semiHidden/>
    <w:rsid w:val="002F2694"/>
    <w:rPr>
      <w:rFonts w:ascii="Calibri" w:hAnsi="Calibri"/>
      <w:sz w:val="24"/>
    </w:rPr>
  </w:style>
  <w:style w:type="character" w:styleId="FollowedHyperlink">
    <w:name w:val="FollowedHyperlink"/>
    <w:basedOn w:val="DefaultParagraphFont"/>
    <w:uiPriority w:val="99"/>
    <w:semiHidden/>
    <w:unhideWhenUsed/>
    <w:rsid w:val="002F2694"/>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dga.virginia.gov/media/governorvirginiagov/chief-data-officer/AI-Explainability-Template-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dga.virginia.gov/media/governorvirginiagov/chief-data-officer/AI-Explainability-Template-Fillabl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7</TotalTime>
  <Pages>7</Pages>
  <Words>1340</Words>
  <Characters>8220</Characters>
  <Application>Microsoft Office Word</Application>
  <DocSecurity>0</DocSecurity>
  <Lines>195</Lines>
  <Paragraphs>154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GDCDPA COMPLIANCE GUIDEBOOK FOR AI SYSTEMS</dc:title>
  <dc:subject/>
  <dc:creator>Klich, Erin (GOV)</dc:creator>
  <cp:keywords/>
  <dc:description/>
  <cp:lastModifiedBy>Klich, Erin (ODGA)</cp:lastModifiedBy>
  <cp:revision>1</cp:revision>
  <cp:lastPrinted>2026-01-05T20:23:00Z</cp:lastPrinted>
  <dcterms:created xsi:type="dcterms:W3CDTF">2026-01-29T14:55:00Z</dcterms:created>
  <dcterms:modified xsi:type="dcterms:W3CDTF">2026-01-29T15:02:00Z</dcterms:modified>
</cp:coreProperties>
</file>