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1777" w14:textId="77777777" w:rsidR="00144563" w:rsidRPr="00144563" w:rsidRDefault="00144563" w:rsidP="00144563">
      <w:pPr>
        <w:pStyle w:val="Heading1"/>
      </w:pPr>
      <w:r w:rsidRPr="00144563">
        <w:t>Data to AI Governance Map</w:t>
      </w:r>
    </w:p>
    <w:p w14:paraId="794F0B31" w14:textId="77777777" w:rsidR="00144563" w:rsidRPr="008818A6" w:rsidRDefault="00144563" w:rsidP="00144563">
      <w:pPr>
        <w:spacing w:before="0" w:after="120"/>
        <w:rPr>
          <w:rFonts w:ascii="Roboto" w:hAnsi="Roboto"/>
        </w:rPr>
      </w:pPr>
      <w:r w:rsidRPr="008818A6">
        <w:rPr>
          <w:rFonts w:ascii="Roboto" w:hAnsi="Roboto"/>
        </w:rPr>
        <w:t>This document maps traditional Data Governance tasks to their AI Governance counterparts. It is designed to help agencies quickly see how existing data practices translate to AI requirements and where additional oversight may be needed.</w:t>
      </w:r>
    </w:p>
    <w:tbl>
      <w:tblPr>
        <w:tblStyle w:val="TableGrid"/>
        <w:tblW w:w="0" w:type="auto"/>
        <w:tblLayout w:type="fixed"/>
        <w:tblLook w:val="04A0" w:firstRow="1" w:lastRow="0" w:firstColumn="1" w:lastColumn="0" w:noHBand="0" w:noVBand="1"/>
      </w:tblPr>
      <w:tblGrid>
        <w:gridCol w:w="1975"/>
        <w:gridCol w:w="4500"/>
        <w:gridCol w:w="810"/>
        <w:gridCol w:w="1890"/>
        <w:gridCol w:w="5130"/>
      </w:tblGrid>
      <w:tr w:rsidR="00144563" w14:paraId="0CEBBDB1" w14:textId="77777777" w:rsidTr="00144563">
        <w:trPr>
          <w:cnfStyle w:val="100000000000" w:firstRow="1" w:lastRow="0" w:firstColumn="0" w:lastColumn="0" w:oddVBand="0" w:evenVBand="0" w:oddHBand="0" w:evenHBand="0" w:firstRowFirstColumn="0" w:firstRowLastColumn="0" w:lastRowFirstColumn="0" w:lastRowLastColumn="0"/>
        </w:trPr>
        <w:tc>
          <w:tcPr>
            <w:tcW w:w="1975" w:type="dxa"/>
            <w:tcBorders>
              <w:top w:val="single" w:sz="4" w:space="0" w:color="989796" w:themeColor="accent3"/>
              <w:left w:val="single" w:sz="4" w:space="0" w:color="989796" w:themeColor="accent3"/>
              <w:bottom w:val="single" w:sz="4" w:space="0" w:color="989796" w:themeColor="accent3"/>
              <w:right w:val="single" w:sz="4" w:space="0" w:color="989796" w:themeColor="accent3"/>
            </w:tcBorders>
            <w:shd w:val="clear" w:color="auto" w:fill="075A83" w:themeFill="accent1"/>
            <w:vAlign w:val="center"/>
          </w:tcPr>
          <w:p w14:paraId="686D4445" w14:textId="77777777" w:rsidR="00144563" w:rsidRPr="00144563" w:rsidRDefault="00144563" w:rsidP="0030562F">
            <w:pPr>
              <w:spacing w:before="120" w:after="120"/>
              <w:rPr>
                <w:rFonts w:ascii="Montserrat" w:hAnsi="Montserrat"/>
                <w:b/>
                <w:bCs/>
                <w:color w:val="FFFFFF" w:themeColor="background1"/>
              </w:rPr>
            </w:pPr>
            <w:r w:rsidRPr="00144563">
              <w:rPr>
                <w:rFonts w:ascii="Montserrat" w:hAnsi="Montserrat"/>
                <w:b/>
                <w:bCs/>
                <w:color w:val="FFFFFF" w:themeColor="background1"/>
              </w:rPr>
              <w:t>Data Governance Task</w:t>
            </w:r>
          </w:p>
        </w:tc>
        <w:tc>
          <w:tcPr>
            <w:tcW w:w="4500" w:type="dxa"/>
            <w:tcBorders>
              <w:top w:val="single" w:sz="4" w:space="0" w:color="989796" w:themeColor="accent3"/>
              <w:left w:val="single" w:sz="4" w:space="0" w:color="989796" w:themeColor="accent3"/>
              <w:bottom w:val="single" w:sz="4" w:space="0" w:color="989796" w:themeColor="accent3"/>
              <w:right w:val="single" w:sz="4" w:space="0" w:color="989796" w:themeColor="accent3"/>
            </w:tcBorders>
            <w:shd w:val="clear" w:color="auto" w:fill="075A83" w:themeFill="accent1"/>
            <w:vAlign w:val="center"/>
          </w:tcPr>
          <w:p w14:paraId="42E0F371" w14:textId="77777777" w:rsidR="00144563" w:rsidRPr="00144563" w:rsidRDefault="00144563" w:rsidP="0030562F">
            <w:pPr>
              <w:spacing w:before="120" w:after="120"/>
              <w:rPr>
                <w:rFonts w:ascii="Montserrat" w:hAnsi="Montserrat"/>
                <w:b/>
                <w:bCs/>
                <w:color w:val="FFFFFF" w:themeColor="background1"/>
              </w:rPr>
            </w:pPr>
            <w:r w:rsidRPr="00144563">
              <w:rPr>
                <w:rFonts w:ascii="Montserrat" w:hAnsi="Montserrat"/>
                <w:b/>
                <w:bCs/>
                <w:color w:val="FFFFFF" w:themeColor="background1"/>
              </w:rPr>
              <w:t>Description and Purpose</w:t>
            </w:r>
          </w:p>
        </w:tc>
        <w:tc>
          <w:tcPr>
            <w:tcW w:w="810" w:type="dxa"/>
            <w:tcBorders>
              <w:top w:val="nil"/>
              <w:left w:val="single" w:sz="4" w:space="0" w:color="989796" w:themeColor="accent3"/>
              <w:bottom w:val="nil"/>
              <w:right w:val="single" w:sz="4" w:space="0" w:color="989796" w:themeColor="accent3"/>
            </w:tcBorders>
            <w:shd w:val="clear" w:color="auto" w:fill="FFFFFF" w:themeFill="background1"/>
            <w:vAlign w:val="center"/>
          </w:tcPr>
          <w:p w14:paraId="4AE810DD" w14:textId="77777777" w:rsidR="00144563" w:rsidRPr="008818A6" w:rsidRDefault="00144563" w:rsidP="0030562F">
            <w:pPr>
              <w:spacing w:before="120" w:after="120"/>
              <w:rPr>
                <w:rFonts w:ascii="Montserrat" w:hAnsi="Montserrat"/>
                <w:b/>
                <w:bCs/>
              </w:rPr>
            </w:pPr>
          </w:p>
        </w:tc>
        <w:tc>
          <w:tcPr>
            <w:tcW w:w="1890" w:type="dxa"/>
            <w:tcBorders>
              <w:top w:val="single" w:sz="4" w:space="0" w:color="989796" w:themeColor="accent3"/>
              <w:left w:val="single" w:sz="4" w:space="0" w:color="989796" w:themeColor="accent3"/>
              <w:bottom w:val="single" w:sz="4" w:space="0" w:color="989796" w:themeColor="accent3"/>
              <w:right w:val="single" w:sz="4" w:space="0" w:color="989796" w:themeColor="accent3"/>
            </w:tcBorders>
            <w:shd w:val="clear" w:color="auto" w:fill="075A83" w:themeFill="accent1"/>
            <w:vAlign w:val="center"/>
          </w:tcPr>
          <w:p w14:paraId="43DBCDD2" w14:textId="77777777" w:rsidR="00144563" w:rsidRPr="00144563" w:rsidRDefault="00144563" w:rsidP="0030562F">
            <w:pPr>
              <w:spacing w:before="120" w:after="120"/>
              <w:rPr>
                <w:rFonts w:ascii="Montserrat" w:hAnsi="Montserrat"/>
                <w:b/>
                <w:bCs/>
                <w:color w:val="FFFFFF" w:themeColor="background1"/>
              </w:rPr>
            </w:pPr>
            <w:r w:rsidRPr="00144563">
              <w:rPr>
                <w:rFonts w:ascii="Montserrat" w:hAnsi="Montserrat"/>
                <w:b/>
                <w:bCs/>
                <w:color w:val="FFFFFF" w:themeColor="background1"/>
              </w:rPr>
              <w:t>AI Governance Task</w:t>
            </w:r>
          </w:p>
        </w:tc>
        <w:tc>
          <w:tcPr>
            <w:tcW w:w="5130" w:type="dxa"/>
            <w:tcBorders>
              <w:top w:val="single" w:sz="4" w:space="0" w:color="989796" w:themeColor="accent3"/>
              <w:left w:val="single" w:sz="4" w:space="0" w:color="989796" w:themeColor="accent3"/>
              <w:bottom w:val="single" w:sz="4" w:space="0" w:color="989796" w:themeColor="accent3"/>
              <w:right w:val="single" w:sz="4" w:space="0" w:color="989796" w:themeColor="accent3"/>
            </w:tcBorders>
            <w:shd w:val="clear" w:color="auto" w:fill="075A83" w:themeFill="accent1"/>
            <w:vAlign w:val="center"/>
          </w:tcPr>
          <w:p w14:paraId="6273BB77" w14:textId="77777777" w:rsidR="00144563" w:rsidRPr="00144563" w:rsidRDefault="00144563" w:rsidP="0030562F">
            <w:pPr>
              <w:spacing w:before="120" w:after="120"/>
              <w:rPr>
                <w:rFonts w:ascii="Montserrat" w:hAnsi="Montserrat"/>
                <w:b/>
                <w:bCs/>
                <w:color w:val="FFFFFF" w:themeColor="background1"/>
              </w:rPr>
            </w:pPr>
            <w:r w:rsidRPr="00144563">
              <w:rPr>
                <w:rFonts w:ascii="Montserrat" w:hAnsi="Montserrat"/>
                <w:b/>
                <w:bCs/>
                <w:color w:val="FFFFFF" w:themeColor="background1"/>
              </w:rPr>
              <w:t>Description and Purpose</w:t>
            </w:r>
          </w:p>
        </w:tc>
      </w:tr>
      <w:tr w:rsidR="00144563" w14:paraId="3CDE01A6" w14:textId="77777777" w:rsidTr="00144563">
        <w:trPr>
          <w:cnfStyle w:val="000000100000" w:firstRow="0" w:lastRow="0" w:firstColumn="0" w:lastColumn="0" w:oddVBand="0" w:evenVBand="0" w:oddHBand="1" w:evenHBand="0" w:firstRowFirstColumn="0" w:firstRowLastColumn="0" w:lastRowFirstColumn="0" w:lastRowLastColumn="0"/>
        </w:trPr>
        <w:tc>
          <w:tcPr>
            <w:tcW w:w="1975" w:type="dxa"/>
            <w:shd w:val="clear" w:color="auto" w:fill="FEF6E2" w:themeFill="accent5" w:themeFillTint="33"/>
            <w:vAlign w:val="center"/>
          </w:tcPr>
          <w:p w14:paraId="4AD8F3A3" w14:textId="77777777" w:rsidR="00144563" w:rsidRPr="00B24273" w:rsidRDefault="00144563" w:rsidP="0030562F">
            <w:pPr>
              <w:spacing w:before="120" w:after="120"/>
              <w:rPr>
                <w:rFonts w:ascii="Roboto" w:hAnsi="Roboto"/>
              </w:rPr>
            </w:pPr>
            <w:r w:rsidRPr="00B24273">
              <w:rPr>
                <w:rFonts w:ascii="Roboto" w:hAnsi="Roboto" w:cs="Arial"/>
                <w:color w:val="000000"/>
              </w:rPr>
              <w:t>Data Inventory &amp; Catalog</w:t>
            </w:r>
          </w:p>
        </w:tc>
        <w:tc>
          <w:tcPr>
            <w:tcW w:w="4500" w:type="dxa"/>
            <w:shd w:val="clear" w:color="auto" w:fill="EEEEED" w:themeFill="background2"/>
            <w:vAlign w:val="center"/>
          </w:tcPr>
          <w:p w14:paraId="000780DF" w14:textId="77777777" w:rsidR="00144563" w:rsidRPr="00B24273" w:rsidRDefault="00144563" w:rsidP="0030562F">
            <w:pPr>
              <w:spacing w:before="120" w:after="120"/>
              <w:rPr>
                <w:rFonts w:ascii="Roboto" w:hAnsi="Roboto"/>
              </w:rPr>
            </w:pPr>
            <w:r w:rsidRPr="00B24273">
              <w:rPr>
                <w:rFonts w:ascii="Roboto" w:hAnsi="Roboto"/>
              </w:rPr>
              <w:t>Systematically identifying and documenting all data assets, including their source, content, and usage, for easy discovery and management.</w:t>
            </w:r>
          </w:p>
        </w:tc>
        <w:tc>
          <w:tcPr>
            <w:tcW w:w="810" w:type="dxa"/>
            <w:tcBorders>
              <w:top w:val="nil"/>
              <w:bottom w:val="nil"/>
            </w:tcBorders>
          </w:tcPr>
          <w:p w14:paraId="3AE79785" w14:textId="77777777" w:rsidR="00144563" w:rsidRPr="00B24273" w:rsidRDefault="00144563" w:rsidP="0030562F">
            <w:pPr>
              <w:spacing w:before="360" w:after="120"/>
              <w:rPr>
                <w:rFonts w:ascii="Roboto" w:hAnsi="Roboto"/>
              </w:rPr>
            </w:pPr>
            <w:r w:rsidRPr="00B24273">
              <w:rPr>
                <w:rFonts w:ascii="Roboto" w:hAnsi="Roboto"/>
                <w:noProof/>
              </w:rPr>
              <w:drawing>
                <wp:inline distT="0" distB="0" distL="0" distR="0" wp14:anchorId="4EE37B27" wp14:editId="07F8752B">
                  <wp:extent cx="340242" cy="340242"/>
                  <wp:effectExtent l="0" t="0" r="3175" b="0"/>
                  <wp:docPr id="197070707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07072"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61AC9F1C" w14:textId="77777777" w:rsidR="00144563" w:rsidRPr="00B24273" w:rsidRDefault="00144563" w:rsidP="0030562F">
            <w:pPr>
              <w:spacing w:before="120" w:after="120"/>
              <w:rPr>
                <w:rFonts w:ascii="Roboto" w:hAnsi="Roboto"/>
              </w:rPr>
            </w:pPr>
            <w:r w:rsidRPr="00B24273">
              <w:rPr>
                <w:rFonts w:ascii="Roboto" w:hAnsi="Roboto"/>
              </w:rPr>
              <w:t>AI System Registry</w:t>
            </w:r>
          </w:p>
        </w:tc>
        <w:tc>
          <w:tcPr>
            <w:tcW w:w="5130" w:type="dxa"/>
            <w:shd w:val="clear" w:color="auto" w:fill="EEEEED" w:themeFill="background2"/>
            <w:vAlign w:val="center"/>
          </w:tcPr>
          <w:p w14:paraId="3660DBD3" w14:textId="77777777" w:rsidR="00144563" w:rsidRPr="00B24273" w:rsidRDefault="00144563" w:rsidP="0030562F">
            <w:pPr>
              <w:spacing w:before="120" w:after="120"/>
              <w:rPr>
                <w:rFonts w:ascii="Roboto" w:hAnsi="Roboto"/>
              </w:rPr>
            </w:pPr>
            <w:r w:rsidRPr="00B24273">
              <w:rPr>
                <w:rFonts w:ascii="Roboto" w:hAnsi="Roboto"/>
              </w:rPr>
              <w:t>The official catalog of all AI models, linked to the data assets they use. It confirms the AI system's existence, location, and purpose.</w:t>
            </w:r>
          </w:p>
        </w:tc>
      </w:tr>
      <w:tr w:rsidR="00144563" w14:paraId="2C486B49" w14:textId="77777777" w:rsidTr="00144563">
        <w:trPr>
          <w:cnfStyle w:val="000000010000" w:firstRow="0" w:lastRow="0" w:firstColumn="0" w:lastColumn="0" w:oddVBand="0" w:evenVBand="0" w:oddHBand="0" w:evenHBand="1" w:firstRowFirstColumn="0" w:firstRowLastColumn="0" w:lastRowFirstColumn="0" w:lastRowLastColumn="0"/>
        </w:trPr>
        <w:tc>
          <w:tcPr>
            <w:tcW w:w="1975" w:type="dxa"/>
            <w:shd w:val="clear" w:color="auto" w:fill="FEF6E2" w:themeFill="accent5" w:themeFillTint="33"/>
            <w:vAlign w:val="center"/>
          </w:tcPr>
          <w:p w14:paraId="2BF20889" w14:textId="77777777" w:rsidR="00144563" w:rsidRPr="00B24273" w:rsidRDefault="00144563" w:rsidP="0030562F">
            <w:pPr>
              <w:spacing w:before="120" w:after="120"/>
              <w:rPr>
                <w:rFonts w:ascii="Roboto" w:hAnsi="Roboto"/>
              </w:rPr>
            </w:pPr>
            <w:r w:rsidRPr="00B24273">
              <w:rPr>
                <w:rFonts w:ascii="Roboto" w:hAnsi="Roboto" w:cs="Arial"/>
                <w:color w:val="000000"/>
              </w:rPr>
              <w:t>Data Owner &amp; Data Steward Assignment</w:t>
            </w:r>
          </w:p>
        </w:tc>
        <w:tc>
          <w:tcPr>
            <w:tcW w:w="4500" w:type="dxa"/>
            <w:vAlign w:val="center"/>
          </w:tcPr>
          <w:p w14:paraId="7F3E3154" w14:textId="77777777" w:rsidR="00144563" w:rsidRPr="00B24273" w:rsidRDefault="00144563" w:rsidP="0030562F">
            <w:pPr>
              <w:spacing w:before="120" w:after="120"/>
              <w:rPr>
                <w:rFonts w:ascii="Roboto" w:hAnsi="Roboto"/>
              </w:rPr>
            </w:pPr>
            <w:r w:rsidRPr="00B24273">
              <w:rPr>
                <w:rFonts w:ascii="Roboto" w:hAnsi="Roboto"/>
              </w:rPr>
              <w:t>Formalizing roles and responsibilities for data assets, ensuring clear accountability for data quality, security, and compliance.</w:t>
            </w:r>
          </w:p>
        </w:tc>
        <w:tc>
          <w:tcPr>
            <w:tcW w:w="810" w:type="dxa"/>
            <w:tcBorders>
              <w:top w:val="nil"/>
              <w:bottom w:val="nil"/>
            </w:tcBorders>
            <w:shd w:val="clear" w:color="auto" w:fill="auto"/>
          </w:tcPr>
          <w:p w14:paraId="0FF76140" w14:textId="77777777" w:rsidR="00144563" w:rsidRPr="00B24273" w:rsidRDefault="00144563" w:rsidP="0030562F">
            <w:pPr>
              <w:spacing w:before="360" w:after="120"/>
              <w:rPr>
                <w:rFonts w:ascii="Roboto" w:hAnsi="Roboto"/>
              </w:rPr>
            </w:pPr>
            <w:r w:rsidRPr="00B24273">
              <w:rPr>
                <w:rFonts w:ascii="Roboto" w:hAnsi="Roboto"/>
                <w:noProof/>
              </w:rPr>
              <w:drawing>
                <wp:inline distT="0" distB="0" distL="0" distR="0" wp14:anchorId="61B3989C" wp14:editId="41F27608">
                  <wp:extent cx="340242" cy="340242"/>
                  <wp:effectExtent l="0" t="0" r="3175" b="0"/>
                  <wp:docPr id="137436171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61713"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205A7FEF" w14:textId="77777777" w:rsidR="00144563" w:rsidRPr="00B24273" w:rsidRDefault="00144563" w:rsidP="0030562F">
            <w:pPr>
              <w:spacing w:before="120" w:after="120"/>
              <w:rPr>
                <w:rFonts w:ascii="Roboto" w:hAnsi="Roboto"/>
              </w:rPr>
            </w:pPr>
            <w:r w:rsidRPr="00B24273">
              <w:rPr>
                <w:rFonts w:ascii="Roboto" w:hAnsi="Roboto"/>
              </w:rPr>
              <w:t>AI Owner &amp; AI Steward Assignment</w:t>
            </w:r>
          </w:p>
        </w:tc>
        <w:tc>
          <w:tcPr>
            <w:tcW w:w="5130" w:type="dxa"/>
            <w:vAlign w:val="center"/>
          </w:tcPr>
          <w:p w14:paraId="4AEAC9B1" w14:textId="77777777" w:rsidR="00144563" w:rsidRPr="00B24273" w:rsidRDefault="00144563" w:rsidP="0030562F">
            <w:pPr>
              <w:spacing w:before="120" w:after="120"/>
              <w:rPr>
                <w:rFonts w:ascii="Roboto" w:hAnsi="Roboto"/>
              </w:rPr>
            </w:pPr>
            <w:r w:rsidRPr="00B24273">
              <w:rPr>
                <w:rFonts w:ascii="Roboto" w:hAnsi="Roboto"/>
              </w:rPr>
              <w:t>Directly utilizes the existing governance roles. The AI Steward (often the Data Steward) is responsible for the AI system's data quality, compliance, and Model Card documentation.</w:t>
            </w:r>
          </w:p>
        </w:tc>
      </w:tr>
      <w:tr w:rsidR="00144563" w14:paraId="7CB805A0" w14:textId="77777777" w:rsidTr="0030562F">
        <w:trPr>
          <w:cnfStyle w:val="000000100000" w:firstRow="0" w:lastRow="0" w:firstColumn="0" w:lastColumn="0" w:oddVBand="0" w:evenVBand="0" w:oddHBand="1" w:evenHBand="0" w:firstRowFirstColumn="0" w:firstRowLastColumn="0" w:lastRowFirstColumn="0" w:lastRowLastColumn="0"/>
        </w:trPr>
        <w:tc>
          <w:tcPr>
            <w:tcW w:w="1975" w:type="dxa"/>
            <w:shd w:val="clear" w:color="auto" w:fill="FEF6E2" w:themeFill="accent5" w:themeFillTint="33"/>
            <w:vAlign w:val="center"/>
          </w:tcPr>
          <w:p w14:paraId="71489D24" w14:textId="77777777" w:rsidR="00144563" w:rsidRPr="00B24273" w:rsidRDefault="00144563" w:rsidP="0030562F">
            <w:pPr>
              <w:spacing w:before="120" w:after="120"/>
              <w:rPr>
                <w:rFonts w:ascii="Roboto" w:hAnsi="Roboto"/>
              </w:rPr>
            </w:pPr>
            <w:r w:rsidRPr="00B24273">
              <w:rPr>
                <w:rFonts w:ascii="Roboto" w:hAnsi="Roboto" w:cs="Arial"/>
                <w:color w:val="000000"/>
              </w:rPr>
              <w:t>Metadata Management</w:t>
            </w:r>
          </w:p>
        </w:tc>
        <w:tc>
          <w:tcPr>
            <w:tcW w:w="4500" w:type="dxa"/>
            <w:shd w:val="clear" w:color="auto" w:fill="EEEEED" w:themeFill="background2"/>
            <w:vAlign w:val="center"/>
          </w:tcPr>
          <w:p w14:paraId="09C1752D" w14:textId="77777777" w:rsidR="00144563" w:rsidRPr="00B24273" w:rsidRDefault="00144563" w:rsidP="0030562F">
            <w:pPr>
              <w:spacing w:before="120" w:after="120"/>
              <w:rPr>
                <w:rFonts w:ascii="Roboto" w:hAnsi="Roboto"/>
              </w:rPr>
            </w:pPr>
            <w:r w:rsidRPr="00B24273">
              <w:rPr>
                <w:rFonts w:ascii="Roboto" w:hAnsi="Roboto"/>
              </w:rPr>
              <w:t>Creating and maintaining descriptive, structural, and administrative information (metadata) about data assets to improve understanding and trust.</w:t>
            </w:r>
          </w:p>
        </w:tc>
        <w:tc>
          <w:tcPr>
            <w:tcW w:w="810" w:type="dxa"/>
            <w:tcBorders>
              <w:top w:val="nil"/>
              <w:bottom w:val="nil"/>
            </w:tcBorders>
          </w:tcPr>
          <w:p w14:paraId="5DB90601" w14:textId="77777777" w:rsidR="00144563" w:rsidRPr="00B24273" w:rsidRDefault="00144563" w:rsidP="0030562F">
            <w:pPr>
              <w:spacing w:before="600" w:after="120"/>
              <w:rPr>
                <w:rFonts w:ascii="Roboto" w:hAnsi="Roboto"/>
              </w:rPr>
            </w:pPr>
            <w:r w:rsidRPr="00B24273">
              <w:rPr>
                <w:rFonts w:ascii="Roboto" w:hAnsi="Roboto"/>
                <w:noProof/>
              </w:rPr>
              <w:drawing>
                <wp:inline distT="0" distB="0" distL="0" distR="0" wp14:anchorId="0DA6F730" wp14:editId="59659D97">
                  <wp:extent cx="340242" cy="340242"/>
                  <wp:effectExtent l="0" t="0" r="3175" b="0"/>
                  <wp:docPr id="163315970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59705"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1E283938" w14:textId="77777777" w:rsidR="00144563" w:rsidRPr="00B24273" w:rsidRDefault="00144563" w:rsidP="0030562F">
            <w:pPr>
              <w:spacing w:before="120" w:after="120"/>
              <w:rPr>
                <w:rFonts w:ascii="Roboto" w:hAnsi="Roboto"/>
              </w:rPr>
            </w:pPr>
            <w:r w:rsidRPr="00B24273">
              <w:rPr>
                <w:rFonts w:ascii="Roboto" w:hAnsi="Roboto"/>
              </w:rPr>
              <w:t>Explainability Documentation</w:t>
            </w:r>
          </w:p>
        </w:tc>
        <w:tc>
          <w:tcPr>
            <w:tcW w:w="5130" w:type="dxa"/>
            <w:shd w:val="clear" w:color="auto" w:fill="EEEEED" w:themeFill="background2"/>
            <w:vAlign w:val="center"/>
          </w:tcPr>
          <w:p w14:paraId="0827DF8E" w14:textId="77777777" w:rsidR="00144563" w:rsidRPr="00B24273" w:rsidRDefault="00144563" w:rsidP="0030562F">
            <w:pPr>
              <w:spacing w:before="120" w:after="120"/>
              <w:rPr>
                <w:rFonts w:ascii="Roboto" w:hAnsi="Roboto"/>
              </w:rPr>
            </w:pPr>
            <w:r w:rsidRPr="00B24273">
              <w:rPr>
                <w:rFonts w:ascii="Roboto" w:hAnsi="Roboto"/>
              </w:rPr>
              <w:t>The model card and local explanations (SHAP/LIME values) serve as technical and business metadata for the AI asset, making its internal logic discoverable and auditable.</w:t>
            </w:r>
          </w:p>
        </w:tc>
      </w:tr>
      <w:tr w:rsidR="00144563" w14:paraId="08E8326F" w14:textId="77777777" w:rsidTr="00144563">
        <w:trPr>
          <w:cnfStyle w:val="000000010000" w:firstRow="0" w:lastRow="0" w:firstColumn="0" w:lastColumn="0" w:oddVBand="0" w:evenVBand="0" w:oddHBand="0" w:evenHBand="1" w:firstRowFirstColumn="0" w:firstRowLastColumn="0" w:lastRowFirstColumn="0" w:lastRowLastColumn="0"/>
        </w:trPr>
        <w:tc>
          <w:tcPr>
            <w:tcW w:w="1975" w:type="dxa"/>
            <w:shd w:val="clear" w:color="auto" w:fill="FEF6E2" w:themeFill="accent5" w:themeFillTint="33"/>
            <w:vAlign w:val="center"/>
          </w:tcPr>
          <w:p w14:paraId="3ABCD06C" w14:textId="77777777" w:rsidR="00144563" w:rsidRPr="00B24273" w:rsidRDefault="00144563" w:rsidP="0030562F">
            <w:pPr>
              <w:spacing w:before="120" w:after="120"/>
              <w:rPr>
                <w:rFonts w:ascii="Roboto" w:hAnsi="Roboto"/>
              </w:rPr>
            </w:pPr>
            <w:r w:rsidRPr="00B24273">
              <w:rPr>
                <w:rFonts w:ascii="Roboto" w:hAnsi="Roboto" w:cs="Arial"/>
                <w:color w:val="000000"/>
              </w:rPr>
              <w:t>Data Classification &amp; Sensitivity</w:t>
            </w:r>
          </w:p>
        </w:tc>
        <w:tc>
          <w:tcPr>
            <w:tcW w:w="4500" w:type="dxa"/>
            <w:vAlign w:val="center"/>
          </w:tcPr>
          <w:p w14:paraId="78949E77" w14:textId="77777777" w:rsidR="00144563" w:rsidRPr="00B24273" w:rsidRDefault="00144563" w:rsidP="0030562F">
            <w:pPr>
              <w:spacing w:before="120" w:after="120"/>
              <w:rPr>
                <w:rFonts w:ascii="Roboto" w:hAnsi="Roboto"/>
              </w:rPr>
            </w:pPr>
            <w:r w:rsidRPr="00B24273">
              <w:rPr>
                <w:rFonts w:ascii="Roboto" w:hAnsi="Roboto"/>
              </w:rPr>
              <w:t>Assigning labels (e.g., Public, Internal, Confidential, Restricted) to data based on their sensitivity, value, and regulatory requirements.</w:t>
            </w:r>
          </w:p>
        </w:tc>
        <w:tc>
          <w:tcPr>
            <w:tcW w:w="810" w:type="dxa"/>
            <w:tcBorders>
              <w:top w:val="nil"/>
              <w:bottom w:val="nil"/>
            </w:tcBorders>
            <w:shd w:val="clear" w:color="auto" w:fill="auto"/>
          </w:tcPr>
          <w:p w14:paraId="78903642" w14:textId="77777777" w:rsidR="00144563" w:rsidRPr="00B24273" w:rsidRDefault="00144563" w:rsidP="0030562F">
            <w:pPr>
              <w:spacing w:before="480" w:after="120"/>
              <w:rPr>
                <w:rFonts w:ascii="Roboto" w:hAnsi="Roboto"/>
              </w:rPr>
            </w:pPr>
            <w:r w:rsidRPr="00B24273">
              <w:rPr>
                <w:rFonts w:ascii="Roboto" w:hAnsi="Roboto"/>
                <w:noProof/>
              </w:rPr>
              <w:drawing>
                <wp:inline distT="0" distB="0" distL="0" distR="0" wp14:anchorId="2A5B89B1" wp14:editId="14BE0AFE">
                  <wp:extent cx="340242" cy="340242"/>
                  <wp:effectExtent l="0" t="0" r="3175" b="0"/>
                  <wp:docPr id="135618339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3399" name="Graphic 2">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5528" cy="355528"/>
                          </a:xfrm>
                          <a:prstGeom prst="rect">
                            <a:avLst/>
                          </a:prstGeom>
                        </pic:spPr>
                      </pic:pic>
                    </a:graphicData>
                  </a:graphic>
                </wp:inline>
              </w:drawing>
            </w:r>
          </w:p>
        </w:tc>
        <w:tc>
          <w:tcPr>
            <w:tcW w:w="1890" w:type="dxa"/>
            <w:shd w:val="clear" w:color="auto" w:fill="FEF6E2" w:themeFill="accent5" w:themeFillTint="33"/>
            <w:vAlign w:val="center"/>
          </w:tcPr>
          <w:p w14:paraId="4F7E8C12" w14:textId="77777777" w:rsidR="00144563" w:rsidRPr="00B24273" w:rsidRDefault="00144563" w:rsidP="0030562F">
            <w:pPr>
              <w:spacing w:before="120" w:after="120"/>
              <w:rPr>
                <w:rFonts w:ascii="Roboto" w:hAnsi="Roboto"/>
              </w:rPr>
            </w:pPr>
            <w:r w:rsidRPr="00B24273">
              <w:rPr>
                <w:rFonts w:ascii="Roboto" w:hAnsi="Roboto"/>
              </w:rPr>
              <w:t>AI Risk Tier Classification</w:t>
            </w:r>
          </w:p>
        </w:tc>
        <w:tc>
          <w:tcPr>
            <w:tcW w:w="5130" w:type="dxa"/>
            <w:vAlign w:val="center"/>
          </w:tcPr>
          <w:p w14:paraId="44D05F63" w14:textId="77777777" w:rsidR="00144563" w:rsidRPr="00B24273" w:rsidRDefault="00144563" w:rsidP="0030562F">
            <w:pPr>
              <w:spacing w:before="120" w:after="120"/>
              <w:rPr>
                <w:rFonts w:ascii="Roboto" w:hAnsi="Roboto"/>
              </w:rPr>
            </w:pPr>
            <w:r w:rsidRPr="00B24273">
              <w:rPr>
                <w:rFonts w:ascii="Roboto" w:hAnsi="Roboto"/>
              </w:rPr>
              <w:t>Uses the established data classification levels (e.g., Public, Internal, Confidential, Restricted) to determine the AI system's overall risk tier and required scrutiny.</w:t>
            </w:r>
          </w:p>
        </w:tc>
      </w:tr>
    </w:tbl>
    <w:p w14:paraId="6D16B0C2" w14:textId="77777777" w:rsidR="00144563" w:rsidRPr="00DD429B" w:rsidRDefault="00144563" w:rsidP="00144563"/>
    <w:sectPr w:rsidR="00144563" w:rsidRPr="00DD429B" w:rsidSect="00144563">
      <w:headerReference w:type="default" r:id="rId10"/>
      <w:footerReference w:type="default" r:id="rId11"/>
      <w:pgSz w:w="15840" w:h="12240" w:orient="landscape"/>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CB3D" w14:textId="77777777" w:rsidR="00144563" w:rsidRDefault="00144563" w:rsidP="00F85F8A">
      <w:pPr>
        <w:spacing w:before="0" w:after="0" w:line="240" w:lineRule="auto"/>
      </w:pPr>
      <w:r>
        <w:separator/>
      </w:r>
    </w:p>
  </w:endnote>
  <w:endnote w:type="continuationSeparator" w:id="0">
    <w:p w14:paraId="01A364F3" w14:textId="77777777" w:rsidR="00144563" w:rsidRDefault="00144563"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34F"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4953243F" w14:textId="77777777" w:rsidR="00F85F8A" w:rsidRDefault="00F85F8A" w:rsidP="00F85F8A">
    <w:pPr>
      <w:pStyle w:val="Footer"/>
    </w:pPr>
  </w:p>
  <w:p w14:paraId="15A267B8"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1271C7BA"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CB7E" w14:textId="77777777" w:rsidR="00144563" w:rsidRDefault="00144563" w:rsidP="00F85F8A">
      <w:pPr>
        <w:spacing w:before="0" w:after="0" w:line="240" w:lineRule="auto"/>
      </w:pPr>
      <w:r>
        <w:separator/>
      </w:r>
    </w:p>
  </w:footnote>
  <w:footnote w:type="continuationSeparator" w:id="0">
    <w:p w14:paraId="59B8B223" w14:textId="77777777" w:rsidR="00144563" w:rsidRDefault="00144563"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A5A9" w14:textId="6F3227A9" w:rsidR="000A6F0B" w:rsidRDefault="000A6F0B">
    <w:pPr>
      <w:pStyle w:val="Header"/>
    </w:pPr>
  </w:p>
  <w:p w14:paraId="1BDE3085"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0"/>
  </w:num>
  <w:num w:numId="2" w16cid:durableId="951714158">
    <w:abstractNumId w:val="3"/>
  </w:num>
  <w:num w:numId="3" w16cid:durableId="1075589353">
    <w:abstractNumId w:val="6"/>
  </w:num>
  <w:num w:numId="4" w16cid:durableId="1161658138">
    <w:abstractNumId w:val="7"/>
  </w:num>
  <w:num w:numId="5" w16cid:durableId="777257097">
    <w:abstractNumId w:val="15"/>
  </w:num>
  <w:num w:numId="6" w16cid:durableId="145437714">
    <w:abstractNumId w:val="11"/>
  </w:num>
  <w:num w:numId="7" w16cid:durableId="85999835">
    <w:abstractNumId w:val="16"/>
  </w:num>
  <w:num w:numId="8" w16cid:durableId="1002320856">
    <w:abstractNumId w:val="20"/>
  </w:num>
  <w:num w:numId="9" w16cid:durableId="546181933">
    <w:abstractNumId w:val="8"/>
  </w:num>
  <w:num w:numId="10" w16cid:durableId="7561425">
    <w:abstractNumId w:val="12"/>
  </w:num>
  <w:num w:numId="11" w16cid:durableId="592326819">
    <w:abstractNumId w:val="5"/>
  </w:num>
  <w:num w:numId="12" w16cid:durableId="1137802405">
    <w:abstractNumId w:val="13"/>
  </w:num>
  <w:num w:numId="13" w16cid:durableId="989405079">
    <w:abstractNumId w:val="1"/>
  </w:num>
  <w:num w:numId="14" w16cid:durableId="1530682665">
    <w:abstractNumId w:val="0"/>
  </w:num>
  <w:num w:numId="15" w16cid:durableId="710764430">
    <w:abstractNumId w:val="22"/>
  </w:num>
  <w:num w:numId="16" w16cid:durableId="573703585">
    <w:abstractNumId w:val="9"/>
  </w:num>
  <w:num w:numId="17" w16cid:durableId="382876078">
    <w:abstractNumId w:val="21"/>
  </w:num>
  <w:num w:numId="18" w16cid:durableId="1604872461">
    <w:abstractNumId w:val="18"/>
  </w:num>
  <w:num w:numId="19" w16cid:durableId="140850565">
    <w:abstractNumId w:val="19"/>
  </w:num>
  <w:num w:numId="20" w16cid:durableId="1290933118">
    <w:abstractNumId w:val="4"/>
  </w:num>
  <w:num w:numId="21" w16cid:durableId="36440155">
    <w:abstractNumId w:val="14"/>
  </w:num>
  <w:num w:numId="22" w16cid:durableId="639968815">
    <w:abstractNumId w:val="2"/>
  </w:num>
  <w:num w:numId="23" w16cid:durableId="127147725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63"/>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44563"/>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BD4B47"/>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D155"/>
  <w15:chartTrackingRefBased/>
  <w15:docId w15:val="{59ABF296-EE2D-4F45-8FED-D70D5C8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144563"/>
    <w:pPr>
      <w:spacing w:before="0" w:after="0"/>
      <w:outlineLvl w:val="0"/>
    </w:pPr>
    <w:rPr>
      <w:caps/>
      <w:color w:val="173055" w:themeColor="text1"/>
      <w:spacing w:val="15"/>
      <w:sz w:val="44"/>
      <w:szCs w:val="18"/>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63"/>
    <w:rPr>
      <w:rFonts w:ascii="Calibri" w:hAnsi="Calibri"/>
      <w:caps/>
      <w:color w:val="173055" w:themeColor="text1"/>
      <w:spacing w:val="15"/>
      <w:sz w:val="44"/>
      <w:szCs w:val="18"/>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6</TotalTime>
  <Pages>1</Pages>
  <Words>249</Words>
  <Characters>1553</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TO AI GOVERNANCE MAP</dc:title>
  <dc:subject/>
  <dc:creator>Klich, Erin (GOV)</dc:creator>
  <cp:keywords/>
  <dc:description/>
  <cp:lastModifiedBy>Klich, Erin (ODGA)</cp:lastModifiedBy>
  <cp:revision>1</cp:revision>
  <cp:lastPrinted>2026-01-05T20:23:00Z</cp:lastPrinted>
  <dcterms:created xsi:type="dcterms:W3CDTF">2026-01-29T14:27:00Z</dcterms:created>
  <dcterms:modified xsi:type="dcterms:W3CDTF">2026-01-29T14:33:00Z</dcterms:modified>
</cp:coreProperties>
</file>